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44B" w:rsidRDefault="00FB144B" w:rsidP="0016377B">
      <w:pPr>
        <w:spacing w:before="100" w:beforeAutospacing="1" w:after="100" w:afterAutospacing="1"/>
        <w:ind w:left="0"/>
        <w:jc w:val="center"/>
        <w:rPr>
          <w:rFonts w:ascii="Times New Roman" w:eastAsia="Times New Roman" w:hAnsi="Times New Roman" w:cs="Times New Roman"/>
          <w:b/>
          <w:bCs/>
          <w:i/>
          <w:iCs/>
          <w:color w:val="000000"/>
          <w:sz w:val="27"/>
          <w:szCs w:val="27"/>
          <w:lang w:eastAsia="ru-RU"/>
        </w:rPr>
      </w:pPr>
    </w:p>
    <w:p w:rsidR="00FB144B" w:rsidRPr="00002D21" w:rsidRDefault="00FB144B" w:rsidP="00FB144B">
      <w:pPr>
        <w:pStyle w:val="11"/>
        <w:keepNext w:val="0"/>
        <w:spacing w:before="0" w:after="0"/>
        <w:rPr>
          <w:rFonts w:ascii="Times New Roman" w:hAnsi="Times New Roman"/>
          <w:kern w:val="0"/>
          <w:sz w:val="26"/>
          <w:szCs w:val="26"/>
        </w:rPr>
      </w:pPr>
      <w:r w:rsidRPr="00002D21">
        <w:rPr>
          <w:rFonts w:ascii="Times New Roman" w:hAnsi="Times New Roman"/>
          <w:kern w:val="0"/>
          <w:sz w:val="26"/>
          <w:szCs w:val="26"/>
        </w:rPr>
        <w:t>Главное управление Министерства Российской Федерации</w:t>
      </w:r>
    </w:p>
    <w:p w:rsidR="00FB144B" w:rsidRPr="00002D21" w:rsidRDefault="00FB144B" w:rsidP="00FB144B">
      <w:pPr>
        <w:spacing w:after="0"/>
        <w:jc w:val="center"/>
        <w:rPr>
          <w:rFonts w:ascii="Times New Roman" w:hAnsi="Times New Roman" w:cs="Times New Roman"/>
          <w:b/>
          <w:sz w:val="26"/>
          <w:szCs w:val="26"/>
        </w:rPr>
      </w:pPr>
      <w:r w:rsidRPr="00002D21">
        <w:rPr>
          <w:rFonts w:ascii="Times New Roman" w:hAnsi="Times New Roman" w:cs="Times New Roman"/>
          <w:b/>
          <w:sz w:val="26"/>
          <w:szCs w:val="26"/>
        </w:rPr>
        <w:t>по делам гражданской обороны, чрезвычайным ситуациям и</w:t>
      </w:r>
    </w:p>
    <w:p w:rsidR="00FB144B" w:rsidRPr="00002D21" w:rsidRDefault="00FB144B" w:rsidP="00FB144B">
      <w:pPr>
        <w:spacing w:after="0"/>
        <w:jc w:val="center"/>
        <w:rPr>
          <w:rFonts w:ascii="Times New Roman" w:hAnsi="Times New Roman" w:cs="Times New Roman"/>
          <w:b/>
          <w:sz w:val="26"/>
          <w:szCs w:val="26"/>
        </w:rPr>
      </w:pPr>
      <w:r w:rsidRPr="00002D21">
        <w:rPr>
          <w:rFonts w:ascii="Times New Roman" w:hAnsi="Times New Roman" w:cs="Times New Roman"/>
          <w:b/>
          <w:sz w:val="26"/>
          <w:szCs w:val="26"/>
        </w:rPr>
        <w:t>ликвидации последствий стихийных бедствий</w:t>
      </w:r>
    </w:p>
    <w:p w:rsidR="00FB144B" w:rsidRPr="00002D21" w:rsidRDefault="00FB144B" w:rsidP="00FB144B">
      <w:pPr>
        <w:pBdr>
          <w:bottom w:val="single" w:sz="12" w:space="1" w:color="auto"/>
        </w:pBdr>
        <w:spacing w:after="0"/>
        <w:jc w:val="center"/>
        <w:rPr>
          <w:rFonts w:ascii="Times New Roman" w:hAnsi="Times New Roman" w:cs="Times New Roman"/>
          <w:b/>
          <w:color w:val="000000"/>
          <w:sz w:val="26"/>
          <w:szCs w:val="26"/>
        </w:rPr>
      </w:pPr>
      <w:r w:rsidRPr="00002D21">
        <w:rPr>
          <w:rFonts w:ascii="Times New Roman" w:hAnsi="Times New Roman" w:cs="Times New Roman"/>
          <w:b/>
          <w:sz w:val="26"/>
          <w:szCs w:val="26"/>
        </w:rPr>
        <w:t>по Республике Саха (Якутия)</w:t>
      </w:r>
    </w:p>
    <w:p w:rsidR="00FB144B" w:rsidRDefault="00FB144B" w:rsidP="0016377B">
      <w:pPr>
        <w:spacing w:before="100" w:beforeAutospacing="1" w:after="100" w:afterAutospacing="1"/>
        <w:ind w:left="0"/>
        <w:jc w:val="center"/>
        <w:rPr>
          <w:rFonts w:ascii="Times New Roman" w:eastAsia="Times New Roman" w:hAnsi="Times New Roman" w:cs="Times New Roman"/>
          <w:b/>
          <w:bCs/>
          <w:i/>
          <w:iCs/>
          <w:color w:val="000000"/>
          <w:sz w:val="27"/>
          <w:szCs w:val="27"/>
          <w:lang w:eastAsia="ru-RU"/>
        </w:rPr>
      </w:pPr>
      <w:r w:rsidRPr="00FB144B">
        <w:rPr>
          <w:rFonts w:ascii="Times New Roman" w:eastAsia="Times New Roman" w:hAnsi="Times New Roman" w:cs="Times New Roman"/>
          <w:b/>
          <w:bCs/>
          <w:i/>
          <w:iCs/>
          <w:noProof/>
          <w:color w:val="000000"/>
          <w:sz w:val="27"/>
          <w:szCs w:val="27"/>
          <w:lang w:eastAsia="ru-RU"/>
        </w:rPr>
        <w:drawing>
          <wp:anchor distT="0" distB="0" distL="114300" distR="114300" simplePos="0" relativeHeight="251659264" behindDoc="0" locked="0" layoutInCell="1" allowOverlap="1">
            <wp:simplePos x="0" y="0"/>
            <wp:positionH relativeFrom="column">
              <wp:posOffset>2500630</wp:posOffset>
            </wp:positionH>
            <wp:positionV relativeFrom="paragraph">
              <wp:posOffset>752171</wp:posOffset>
            </wp:positionV>
            <wp:extent cx="1125938" cy="1160891"/>
            <wp:effectExtent l="19050" t="0" r="0" b="0"/>
            <wp:wrapNone/>
            <wp:docPr id="2" name="Рисунок 2" descr="EM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MERCOM"/>
                    <pic:cNvPicPr>
                      <a:picLocks noChangeAspect="1" noChangeArrowheads="1"/>
                    </pic:cNvPicPr>
                  </pic:nvPicPr>
                  <pic:blipFill>
                    <a:blip r:embed="rId5" cstate="print"/>
                    <a:srcRect/>
                    <a:stretch>
                      <a:fillRect/>
                    </a:stretch>
                  </pic:blipFill>
                  <pic:spPr bwMode="auto">
                    <a:xfrm>
                      <a:off x="0" y="0"/>
                      <a:ext cx="1129030" cy="1162685"/>
                    </a:xfrm>
                    <a:prstGeom prst="rect">
                      <a:avLst/>
                    </a:prstGeom>
                    <a:noFill/>
                    <a:ln w="9525">
                      <a:noFill/>
                      <a:miter lim="800000"/>
                      <a:headEnd/>
                      <a:tailEnd/>
                    </a:ln>
                  </pic:spPr>
                </pic:pic>
              </a:graphicData>
            </a:graphic>
          </wp:anchor>
        </w:drawing>
      </w:r>
    </w:p>
    <w:p w:rsidR="00FB144B" w:rsidRDefault="00FB144B" w:rsidP="0016377B">
      <w:pPr>
        <w:spacing w:before="100" w:beforeAutospacing="1" w:after="100" w:afterAutospacing="1"/>
        <w:ind w:left="0"/>
        <w:jc w:val="center"/>
        <w:rPr>
          <w:rFonts w:ascii="Times New Roman" w:eastAsia="Times New Roman" w:hAnsi="Times New Roman" w:cs="Times New Roman"/>
          <w:b/>
          <w:bCs/>
          <w:i/>
          <w:iCs/>
          <w:color w:val="000000"/>
          <w:sz w:val="27"/>
          <w:szCs w:val="27"/>
          <w:lang w:eastAsia="ru-RU"/>
        </w:rPr>
      </w:pPr>
    </w:p>
    <w:p w:rsidR="00FB144B" w:rsidRDefault="00FB144B" w:rsidP="0016377B">
      <w:pPr>
        <w:spacing w:before="100" w:beforeAutospacing="1" w:after="100" w:afterAutospacing="1"/>
        <w:ind w:left="0"/>
        <w:jc w:val="center"/>
        <w:rPr>
          <w:rFonts w:ascii="Times New Roman" w:eastAsia="Times New Roman" w:hAnsi="Times New Roman" w:cs="Times New Roman"/>
          <w:b/>
          <w:bCs/>
          <w:i/>
          <w:iCs/>
          <w:color w:val="000000"/>
          <w:sz w:val="27"/>
          <w:szCs w:val="27"/>
          <w:lang w:eastAsia="ru-RU"/>
        </w:rPr>
      </w:pPr>
    </w:p>
    <w:p w:rsidR="00FB144B" w:rsidRDefault="00FB144B" w:rsidP="0016377B">
      <w:pPr>
        <w:spacing w:before="100" w:beforeAutospacing="1" w:after="100" w:afterAutospacing="1"/>
        <w:ind w:left="0"/>
        <w:jc w:val="center"/>
        <w:rPr>
          <w:rFonts w:ascii="Times New Roman" w:eastAsia="Times New Roman" w:hAnsi="Times New Roman" w:cs="Times New Roman"/>
          <w:b/>
          <w:bCs/>
          <w:i/>
          <w:iCs/>
          <w:color w:val="000000"/>
          <w:sz w:val="27"/>
          <w:szCs w:val="27"/>
          <w:lang w:eastAsia="ru-RU"/>
        </w:rPr>
      </w:pPr>
    </w:p>
    <w:p w:rsidR="00FB144B" w:rsidRDefault="00FB144B" w:rsidP="0016377B">
      <w:pPr>
        <w:spacing w:before="100" w:beforeAutospacing="1" w:after="100" w:afterAutospacing="1"/>
        <w:ind w:left="0"/>
        <w:jc w:val="center"/>
        <w:rPr>
          <w:rFonts w:ascii="Times New Roman" w:eastAsia="Times New Roman" w:hAnsi="Times New Roman" w:cs="Times New Roman"/>
          <w:b/>
          <w:bCs/>
          <w:i/>
          <w:iCs/>
          <w:color w:val="000000"/>
          <w:sz w:val="27"/>
          <w:szCs w:val="27"/>
          <w:lang w:eastAsia="ru-RU"/>
        </w:rPr>
      </w:pPr>
    </w:p>
    <w:p w:rsidR="00FB144B" w:rsidRDefault="00FB144B" w:rsidP="0016377B">
      <w:pPr>
        <w:spacing w:before="100" w:beforeAutospacing="1" w:after="100" w:afterAutospacing="1"/>
        <w:ind w:left="0"/>
        <w:jc w:val="center"/>
        <w:rPr>
          <w:rFonts w:ascii="Times New Roman" w:eastAsia="Times New Roman" w:hAnsi="Times New Roman" w:cs="Times New Roman"/>
          <w:b/>
          <w:bCs/>
          <w:i/>
          <w:iCs/>
          <w:color w:val="000000"/>
          <w:sz w:val="27"/>
          <w:szCs w:val="27"/>
          <w:lang w:eastAsia="ru-RU"/>
        </w:rPr>
      </w:pPr>
    </w:p>
    <w:p w:rsidR="00FB144B" w:rsidRDefault="00FB144B" w:rsidP="0016377B">
      <w:pPr>
        <w:spacing w:before="100" w:beforeAutospacing="1" w:after="100" w:afterAutospacing="1"/>
        <w:ind w:left="0"/>
        <w:jc w:val="center"/>
        <w:rPr>
          <w:rFonts w:ascii="Times New Roman" w:eastAsia="Times New Roman" w:hAnsi="Times New Roman" w:cs="Times New Roman"/>
          <w:b/>
          <w:bCs/>
          <w:i/>
          <w:iCs/>
          <w:color w:val="000000"/>
          <w:sz w:val="27"/>
          <w:szCs w:val="27"/>
          <w:lang w:eastAsia="ru-RU"/>
        </w:rPr>
      </w:pPr>
    </w:p>
    <w:p w:rsidR="002813B2" w:rsidRDefault="002813B2" w:rsidP="0016377B">
      <w:pPr>
        <w:spacing w:before="100" w:beforeAutospacing="1" w:after="100" w:afterAutospacing="1"/>
        <w:ind w:left="0"/>
        <w:jc w:val="center"/>
        <w:rPr>
          <w:rFonts w:ascii="Times New Roman" w:eastAsia="Times New Roman" w:hAnsi="Times New Roman" w:cs="Times New Roman"/>
          <w:b/>
          <w:bCs/>
          <w:i/>
          <w:iCs/>
          <w:color w:val="000000"/>
          <w:sz w:val="27"/>
          <w:szCs w:val="27"/>
          <w:lang w:eastAsia="ru-RU"/>
        </w:rPr>
      </w:pPr>
    </w:p>
    <w:p w:rsidR="00FB144B" w:rsidRDefault="00FB144B" w:rsidP="0016377B">
      <w:pPr>
        <w:spacing w:before="100" w:beforeAutospacing="1" w:after="100" w:afterAutospacing="1"/>
        <w:ind w:left="0"/>
        <w:jc w:val="center"/>
        <w:rPr>
          <w:rFonts w:ascii="Times New Roman" w:eastAsia="Times New Roman" w:hAnsi="Times New Roman" w:cs="Times New Roman"/>
          <w:b/>
          <w:bCs/>
          <w:i/>
          <w:iCs/>
          <w:color w:val="000000"/>
          <w:sz w:val="27"/>
          <w:szCs w:val="27"/>
          <w:lang w:eastAsia="ru-RU"/>
        </w:rPr>
      </w:pPr>
    </w:p>
    <w:p w:rsidR="00FB144B" w:rsidRPr="002813B2" w:rsidRDefault="00FB144B" w:rsidP="00FB144B">
      <w:pPr>
        <w:spacing w:before="100" w:beforeAutospacing="1" w:after="100" w:afterAutospacing="1"/>
        <w:ind w:left="0"/>
        <w:jc w:val="center"/>
        <w:rPr>
          <w:rFonts w:ascii="Times New Roman" w:eastAsia="Times New Roman" w:hAnsi="Times New Roman" w:cs="Times New Roman"/>
          <w:color w:val="000000"/>
          <w:sz w:val="28"/>
          <w:szCs w:val="28"/>
          <w:lang w:eastAsia="ru-RU"/>
        </w:rPr>
      </w:pPr>
      <w:r w:rsidRPr="002813B2">
        <w:rPr>
          <w:rFonts w:ascii="Times New Roman" w:eastAsia="Times New Roman" w:hAnsi="Times New Roman" w:cs="Times New Roman"/>
          <w:b/>
          <w:bCs/>
          <w:color w:val="000000"/>
          <w:sz w:val="28"/>
          <w:szCs w:val="28"/>
          <w:lang w:eastAsia="ru-RU"/>
        </w:rPr>
        <w:t>МЕТОДИЧЕСКИЕ РЕКОМЕНДАЦИИ</w:t>
      </w:r>
    </w:p>
    <w:p w:rsidR="00FB144B" w:rsidRPr="002813B2" w:rsidRDefault="00A4312D" w:rsidP="002813B2">
      <w:pPr>
        <w:spacing w:before="100" w:beforeAutospacing="1" w:after="100" w:afterAutospacing="1"/>
        <w:ind w:left="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w:t>
      </w:r>
      <w:r w:rsidR="00FB144B" w:rsidRPr="002813B2">
        <w:rPr>
          <w:rFonts w:ascii="Times New Roman" w:eastAsia="Times New Roman" w:hAnsi="Times New Roman" w:cs="Times New Roman"/>
          <w:b/>
          <w:bCs/>
          <w:color w:val="000000"/>
          <w:sz w:val="28"/>
          <w:szCs w:val="28"/>
          <w:lang w:eastAsia="ru-RU"/>
        </w:rPr>
        <w:t>о химической</w:t>
      </w:r>
      <w:r w:rsidR="002813B2">
        <w:rPr>
          <w:rFonts w:ascii="Times New Roman" w:eastAsia="Times New Roman" w:hAnsi="Times New Roman" w:cs="Times New Roman"/>
          <w:color w:val="000000"/>
          <w:sz w:val="28"/>
          <w:szCs w:val="28"/>
          <w:lang w:eastAsia="ru-RU"/>
        </w:rPr>
        <w:t xml:space="preserve"> </w:t>
      </w:r>
      <w:r w:rsidR="00FB144B" w:rsidRPr="002813B2">
        <w:rPr>
          <w:rFonts w:ascii="Times New Roman" w:eastAsia="Times New Roman" w:hAnsi="Times New Roman" w:cs="Times New Roman"/>
          <w:b/>
          <w:bCs/>
          <w:color w:val="000000"/>
          <w:sz w:val="28"/>
          <w:szCs w:val="28"/>
          <w:lang w:eastAsia="ru-RU"/>
        </w:rPr>
        <w:t>защите населения</w:t>
      </w:r>
    </w:p>
    <w:p w:rsidR="00FB144B" w:rsidRDefault="00FB144B" w:rsidP="0016377B">
      <w:pPr>
        <w:spacing w:before="100" w:beforeAutospacing="1" w:after="100" w:afterAutospacing="1"/>
        <w:ind w:left="0"/>
        <w:jc w:val="center"/>
        <w:rPr>
          <w:rFonts w:ascii="Times New Roman" w:eastAsia="Times New Roman" w:hAnsi="Times New Roman" w:cs="Times New Roman"/>
          <w:b/>
          <w:bCs/>
          <w:i/>
          <w:iCs/>
          <w:color w:val="000000"/>
          <w:sz w:val="27"/>
          <w:szCs w:val="27"/>
          <w:lang w:eastAsia="ru-RU"/>
        </w:rPr>
      </w:pPr>
    </w:p>
    <w:p w:rsidR="00FB144B" w:rsidRDefault="00FB144B" w:rsidP="0016377B">
      <w:pPr>
        <w:spacing w:before="100" w:beforeAutospacing="1" w:after="100" w:afterAutospacing="1"/>
        <w:ind w:left="0"/>
        <w:jc w:val="center"/>
        <w:rPr>
          <w:rFonts w:ascii="Times New Roman" w:eastAsia="Times New Roman" w:hAnsi="Times New Roman" w:cs="Times New Roman"/>
          <w:b/>
          <w:bCs/>
          <w:i/>
          <w:iCs/>
          <w:color w:val="000000"/>
          <w:sz w:val="27"/>
          <w:szCs w:val="27"/>
          <w:lang w:eastAsia="ru-RU"/>
        </w:rPr>
      </w:pPr>
    </w:p>
    <w:p w:rsidR="00FB144B" w:rsidRDefault="00FB144B" w:rsidP="0016377B">
      <w:pPr>
        <w:spacing w:before="100" w:beforeAutospacing="1" w:after="100" w:afterAutospacing="1"/>
        <w:ind w:left="0"/>
        <w:jc w:val="center"/>
        <w:rPr>
          <w:rFonts w:ascii="Times New Roman" w:eastAsia="Times New Roman" w:hAnsi="Times New Roman" w:cs="Times New Roman"/>
          <w:b/>
          <w:bCs/>
          <w:i/>
          <w:iCs/>
          <w:color w:val="000000"/>
          <w:sz w:val="27"/>
          <w:szCs w:val="27"/>
          <w:lang w:eastAsia="ru-RU"/>
        </w:rPr>
      </w:pPr>
    </w:p>
    <w:p w:rsidR="00FB144B" w:rsidRDefault="00FB144B" w:rsidP="0016377B">
      <w:pPr>
        <w:spacing w:before="100" w:beforeAutospacing="1" w:after="100" w:afterAutospacing="1"/>
        <w:ind w:left="0"/>
        <w:jc w:val="center"/>
        <w:rPr>
          <w:rFonts w:ascii="Times New Roman" w:eastAsia="Times New Roman" w:hAnsi="Times New Roman" w:cs="Times New Roman"/>
          <w:b/>
          <w:bCs/>
          <w:i/>
          <w:iCs/>
          <w:color w:val="000000"/>
          <w:sz w:val="27"/>
          <w:szCs w:val="27"/>
          <w:lang w:eastAsia="ru-RU"/>
        </w:rPr>
      </w:pPr>
    </w:p>
    <w:p w:rsidR="00FB144B" w:rsidRDefault="00FB144B" w:rsidP="0016377B">
      <w:pPr>
        <w:spacing w:before="100" w:beforeAutospacing="1" w:after="100" w:afterAutospacing="1"/>
        <w:ind w:left="0"/>
        <w:jc w:val="center"/>
        <w:rPr>
          <w:rFonts w:ascii="Times New Roman" w:eastAsia="Times New Roman" w:hAnsi="Times New Roman" w:cs="Times New Roman"/>
          <w:b/>
          <w:bCs/>
          <w:i/>
          <w:iCs/>
          <w:color w:val="000000"/>
          <w:sz w:val="27"/>
          <w:szCs w:val="27"/>
          <w:lang w:eastAsia="ru-RU"/>
        </w:rPr>
      </w:pPr>
    </w:p>
    <w:p w:rsidR="00FB144B" w:rsidRDefault="00FB144B" w:rsidP="0016377B">
      <w:pPr>
        <w:spacing w:before="100" w:beforeAutospacing="1" w:after="100" w:afterAutospacing="1"/>
        <w:ind w:left="0"/>
        <w:jc w:val="center"/>
        <w:rPr>
          <w:rFonts w:ascii="Times New Roman" w:eastAsia="Times New Roman" w:hAnsi="Times New Roman" w:cs="Times New Roman"/>
          <w:b/>
          <w:bCs/>
          <w:i/>
          <w:iCs/>
          <w:color w:val="000000"/>
          <w:sz w:val="27"/>
          <w:szCs w:val="27"/>
          <w:lang w:eastAsia="ru-RU"/>
        </w:rPr>
      </w:pPr>
    </w:p>
    <w:p w:rsidR="00FB144B" w:rsidRDefault="00FB144B" w:rsidP="0016377B">
      <w:pPr>
        <w:spacing w:before="100" w:beforeAutospacing="1" w:after="100" w:afterAutospacing="1"/>
        <w:ind w:left="0"/>
        <w:jc w:val="center"/>
        <w:rPr>
          <w:rFonts w:ascii="Times New Roman" w:eastAsia="Times New Roman" w:hAnsi="Times New Roman" w:cs="Times New Roman"/>
          <w:b/>
          <w:bCs/>
          <w:i/>
          <w:iCs/>
          <w:color w:val="000000"/>
          <w:sz w:val="27"/>
          <w:szCs w:val="27"/>
          <w:lang w:eastAsia="ru-RU"/>
        </w:rPr>
      </w:pPr>
    </w:p>
    <w:p w:rsidR="00FB144B" w:rsidRDefault="00FB144B" w:rsidP="0016377B">
      <w:pPr>
        <w:spacing w:before="100" w:beforeAutospacing="1" w:after="100" w:afterAutospacing="1"/>
        <w:ind w:left="0"/>
        <w:jc w:val="center"/>
        <w:rPr>
          <w:rFonts w:ascii="Times New Roman" w:eastAsia="Times New Roman" w:hAnsi="Times New Roman" w:cs="Times New Roman"/>
          <w:b/>
          <w:bCs/>
          <w:i/>
          <w:iCs/>
          <w:color w:val="000000"/>
          <w:sz w:val="27"/>
          <w:szCs w:val="27"/>
          <w:lang w:eastAsia="ru-RU"/>
        </w:rPr>
      </w:pPr>
    </w:p>
    <w:p w:rsidR="00935C6F" w:rsidRDefault="00935C6F" w:rsidP="0016377B">
      <w:pPr>
        <w:spacing w:before="100" w:beforeAutospacing="1" w:after="100" w:afterAutospacing="1"/>
        <w:ind w:left="0"/>
        <w:jc w:val="center"/>
        <w:rPr>
          <w:rFonts w:ascii="Times New Roman" w:eastAsia="Times New Roman" w:hAnsi="Times New Roman" w:cs="Times New Roman"/>
          <w:b/>
          <w:bCs/>
          <w:i/>
          <w:iCs/>
          <w:color w:val="000000"/>
          <w:sz w:val="27"/>
          <w:szCs w:val="27"/>
          <w:lang w:eastAsia="ru-RU"/>
        </w:rPr>
      </w:pPr>
    </w:p>
    <w:p w:rsidR="00FB144B" w:rsidRDefault="00FB144B" w:rsidP="0016377B">
      <w:pPr>
        <w:spacing w:before="100" w:beforeAutospacing="1" w:after="100" w:afterAutospacing="1"/>
        <w:ind w:left="0"/>
        <w:jc w:val="center"/>
        <w:rPr>
          <w:rFonts w:ascii="Times New Roman" w:eastAsia="Times New Roman" w:hAnsi="Times New Roman" w:cs="Times New Roman"/>
          <w:b/>
          <w:bCs/>
          <w:i/>
          <w:iCs/>
          <w:color w:val="000000"/>
          <w:sz w:val="27"/>
          <w:szCs w:val="27"/>
          <w:lang w:eastAsia="ru-RU"/>
        </w:rPr>
      </w:pPr>
    </w:p>
    <w:p w:rsidR="00FB144B" w:rsidRPr="00935C6F" w:rsidRDefault="00FB144B" w:rsidP="00935C6F">
      <w:pPr>
        <w:spacing w:before="100" w:beforeAutospacing="1" w:after="100" w:afterAutospacing="1"/>
        <w:ind w:left="0"/>
        <w:jc w:val="center"/>
        <w:rPr>
          <w:rFonts w:ascii="Times New Roman" w:eastAsia="Times New Roman" w:hAnsi="Times New Roman" w:cs="Times New Roman"/>
          <w:b/>
          <w:bCs/>
          <w:i/>
          <w:iCs/>
          <w:color w:val="000000"/>
          <w:sz w:val="24"/>
          <w:szCs w:val="24"/>
          <w:lang w:eastAsia="ru-RU"/>
        </w:rPr>
      </w:pPr>
      <w:r w:rsidRPr="00FB144B">
        <w:rPr>
          <w:rFonts w:ascii="Times New Roman" w:hAnsi="Times New Roman" w:cs="Times New Roman"/>
          <w:b/>
          <w:sz w:val="24"/>
          <w:szCs w:val="24"/>
        </w:rPr>
        <w:t>г. Якутск - 20</w:t>
      </w:r>
      <w:r w:rsidR="00084222">
        <w:rPr>
          <w:rFonts w:ascii="Times New Roman" w:hAnsi="Times New Roman" w:cs="Times New Roman"/>
          <w:b/>
          <w:sz w:val="24"/>
          <w:szCs w:val="24"/>
        </w:rPr>
        <w:t>20</w:t>
      </w:r>
      <w:r w:rsidRPr="00FB144B">
        <w:rPr>
          <w:rFonts w:ascii="Times New Roman" w:hAnsi="Times New Roman" w:cs="Times New Roman"/>
          <w:b/>
          <w:sz w:val="24"/>
          <w:szCs w:val="24"/>
        </w:rPr>
        <w:t xml:space="preserve"> г.</w:t>
      </w:r>
    </w:p>
    <w:p w:rsidR="0016377B" w:rsidRPr="001532F8" w:rsidRDefault="0016377B" w:rsidP="00FB144B">
      <w:pPr>
        <w:spacing w:after="0"/>
        <w:ind w:left="0" w:firstLine="567"/>
        <w:jc w:val="center"/>
        <w:rPr>
          <w:rFonts w:ascii="Times New Roman" w:hAnsi="Times New Roman" w:cs="Times New Roman"/>
          <w:b/>
          <w:i/>
          <w:sz w:val="28"/>
          <w:szCs w:val="28"/>
        </w:rPr>
      </w:pPr>
      <w:r w:rsidRPr="001532F8">
        <w:rPr>
          <w:rFonts w:ascii="Times New Roman" w:hAnsi="Times New Roman" w:cs="Times New Roman"/>
          <w:b/>
          <w:i/>
          <w:sz w:val="28"/>
          <w:szCs w:val="28"/>
        </w:rPr>
        <w:lastRenderedPageBreak/>
        <w:t>Химическая защита</w:t>
      </w:r>
    </w:p>
    <w:p w:rsidR="002813B2" w:rsidRPr="001532F8" w:rsidRDefault="002813B2" w:rsidP="00FB144B">
      <w:pPr>
        <w:spacing w:after="0"/>
        <w:ind w:left="0" w:firstLine="567"/>
        <w:jc w:val="center"/>
        <w:rPr>
          <w:rFonts w:ascii="Times New Roman" w:hAnsi="Times New Roman" w:cs="Times New Roman"/>
          <w:b/>
          <w:i/>
          <w:sz w:val="28"/>
          <w:szCs w:val="28"/>
        </w:rPr>
      </w:pPr>
    </w:p>
    <w:p w:rsidR="0016377B" w:rsidRPr="001532F8" w:rsidRDefault="0016377B"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Химическая защита представляет собой комплекс мероприятий, направленных на исключение или ослабление воздействия аварийно химически опасных веществ на население и персонал химически опасных объектов, уменьшение масштабов последствий химических аварий.</w:t>
      </w:r>
    </w:p>
    <w:p w:rsidR="0016377B" w:rsidRPr="001532F8" w:rsidRDefault="0016377B"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Необходимость проведения мероприятий химической защиты обуславливается токсичностью аварийно химически опасных веществ, попадающих в окружающую среду в результате аварий на химически опасных объектах, а также других событий.</w:t>
      </w:r>
    </w:p>
    <w:p w:rsidR="0016377B" w:rsidRPr="001532F8" w:rsidRDefault="0016377B"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Отнесение предприятий, получающих, использующих, перерабатывающих, хранящих, транспортирующих, уничтожающих АХОВ, к опасным производственным объектам проводится в соответствии с критериями их токсичности, установленными Федеральным законом «О промышленной безопасности производственных объектов».</w:t>
      </w:r>
    </w:p>
    <w:p w:rsidR="008819BE" w:rsidRPr="001532F8" w:rsidRDefault="008819BE" w:rsidP="002813B2">
      <w:pPr>
        <w:spacing w:after="0" w:line="360" w:lineRule="auto"/>
        <w:ind w:left="0" w:firstLine="567"/>
        <w:rPr>
          <w:rFonts w:ascii="Times New Roman" w:eastAsia="Times New Roman" w:hAnsi="Times New Roman" w:cs="Times New Roman"/>
          <w:sz w:val="28"/>
          <w:szCs w:val="28"/>
        </w:rPr>
      </w:pPr>
      <w:r w:rsidRPr="001532F8">
        <w:rPr>
          <w:rFonts w:ascii="Times New Roman" w:eastAsia="Times New Roman" w:hAnsi="Times New Roman" w:cs="Times New Roman"/>
          <w:sz w:val="28"/>
          <w:szCs w:val="28"/>
        </w:rPr>
        <w:t xml:space="preserve">Современная промышленность, насыщенная высокотехнологичными решениями нуждается в максимально точном контроле, где </w:t>
      </w:r>
      <w:r w:rsidRPr="001532F8">
        <w:rPr>
          <w:rFonts w:ascii="Times New Roman" w:eastAsia="Times New Roman" w:hAnsi="Times New Roman" w:cs="Times New Roman"/>
          <w:bCs/>
          <w:sz w:val="28"/>
          <w:szCs w:val="28"/>
        </w:rPr>
        <w:t>обеспечение безопасности персонала</w:t>
      </w:r>
      <w:r w:rsidRPr="001532F8">
        <w:rPr>
          <w:rFonts w:ascii="Times New Roman" w:eastAsia="Times New Roman" w:hAnsi="Times New Roman" w:cs="Times New Roman"/>
          <w:sz w:val="28"/>
          <w:szCs w:val="28"/>
        </w:rPr>
        <w:t xml:space="preserve"> – первоочередная задача.</w:t>
      </w:r>
    </w:p>
    <w:p w:rsidR="0016377B" w:rsidRPr="001532F8" w:rsidRDefault="0016377B"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Мероприятия химической защиты выполняются, как правило, заблаговременно, а также в оперативном порядке в ходе ликвидации возникающих чрезвычайных ситуаций химического характера.</w:t>
      </w:r>
    </w:p>
    <w:p w:rsidR="0016377B" w:rsidRPr="001532F8" w:rsidRDefault="0016377B"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 xml:space="preserve">Важнейшим фактором, предопределяющим ход защитных мероприятий, является, как правило, быстротечность химических аварий. Защитные мероприятия наиболее эффективны в случаях раннего обнаружения химической аварии, особенно на стадии предпосылок к ней или ее инициирования. Организационно-техническими условиями раннего обнаружения химической аварии является наличие на химически опасном объекте эффективных систем контроля технологических процессов, систем (автоматизированных систем) контроля химической обстановки и локальных систем оповещения, а также результативная работа и профессионализм дежурных диспетчерских служб предприятий. В настоящее время в нашей стране автоматизированными </w:t>
      </w:r>
      <w:r w:rsidRPr="001532F8">
        <w:rPr>
          <w:rFonts w:ascii="Times New Roman" w:hAnsi="Times New Roman" w:cs="Times New Roman"/>
          <w:sz w:val="28"/>
          <w:szCs w:val="28"/>
        </w:rPr>
        <w:lastRenderedPageBreak/>
        <w:t>системами обнаружения аварий оснащено большинство крупных химически опасных объектов, на которых они предусмотрены нормативными требованиями, но до 80% из них устарели и находятся в эксплуатации более 20 лет.</w:t>
      </w:r>
    </w:p>
    <w:p w:rsidR="002813B2" w:rsidRPr="001532F8" w:rsidRDefault="0016377B"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 xml:space="preserve">Оповещение о химической аварии должно проводиться локальными системами оповещения. Решение на оповещение персонала и населения принимается дежурными сменами диспетчерских служб аварийно химически опасных объектов. Если прогнозируемые последствия аварии не выходят за пределы объекта, об аварии оповещаются дежурные смены аварийных служб, администрация и персонал предприятия, а также местные органы управления РСЧС. При авариях, когда прогнозируется распространение поражающих факторов АХОВ за пределы объекта, оповещаются также население, руководители и персонал предприятий и организаций, попадающих в границы действия локальных систем оповещения. При крупномасштабных химических авариях, когда локальные системы не обеспечивают требуемого масштаба оповещения, наряду с ними задействуются территориальные и местные системы централизованного оповещения. </w:t>
      </w:r>
    </w:p>
    <w:p w:rsidR="0016377B" w:rsidRPr="001532F8" w:rsidRDefault="0016377B"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 xml:space="preserve">При возникновении химической аварии в целях последующего осуществления конкретных защитных мероприятий </w:t>
      </w:r>
      <w:proofErr w:type="gramStart"/>
      <w:r w:rsidRPr="001532F8">
        <w:rPr>
          <w:rFonts w:ascii="Times New Roman" w:hAnsi="Times New Roman" w:cs="Times New Roman"/>
          <w:sz w:val="28"/>
          <w:szCs w:val="28"/>
        </w:rPr>
        <w:t>организуется химическая разведка проводится</w:t>
      </w:r>
      <w:proofErr w:type="gramEnd"/>
      <w:r w:rsidRPr="001532F8">
        <w:rPr>
          <w:rFonts w:ascii="Times New Roman" w:hAnsi="Times New Roman" w:cs="Times New Roman"/>
          <w:sz w:val="28"/>
          <w:szCs w:val="28"/>
        </w:rPr>
        <w:t xml:space="preserve"> оценка обстановки, сложившейся (складывающейся) в результате аварии. Определяется наличие АХОВ, характер и объем выброса, направление и скорость движения облака, время прихода облака к тем или иным объектам производственного, социального, жилого назначения, территория, охватываемая последствиями аварии, в том числе степень ее заражения АХОВ другие данные.</w:t>
      </w:r>
    </w:p>
    <w:p w:rsidR="0016377B" w:rsidRPr="001532F8" w:rsidRDefault="0016377B"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Характеристики основных АХОВ приведены в табл</w:t>
      </w:r>
      <w:r w:rsidR="002813B2" w:rsidRPr="001532F8">
        <w:rPr>
          <w:rFonts w:ascii="Times New Roman" w:hAnsi="Times New Roman" w:cs="Times New Roman"/>
          <w:sz w:val="28"/>
          <w:szCs w:val="28"/>
        </w:rPr>
        <w:t>ице.</w:t>
      </w:r>
    </w:p>
    <w:p w:rsidR="008819BE" w:rsidRPr="001532F8" w:rsidRDefault="008819BE" w:rsidP="008819BE">
      <w:pPr>
        <w:spacing w:after="0" w:line="360" w:lineRule="auto"/>
        <w:ind w:left="0" w:firstLine="567"/>
        <w:rPr>
          <w:rFonts w:ascii="Times New Roman" w:eastAsia="Times New Roman" w:hAnsi="Times New Roman" w:cs="Times New Roman"/>
          <w:sz w:val="28"/>
          <w:szCs w:val="28"/>
        </w:rPr>
      </w:pPr>
      <w:r w:rsidRPr="001532F8">
        <w:rPr>
          <w:rFonts w:ascii="Times New Roman" w:eastAsia="Times New Roman" w:hAnsi="Times New Roman" w:cs="Times New Roman"/>
          <w:sz w:val="28"/>
          <w:szCs w:val="28"/>
        </w:rPr>
        <w:t xml:space="preserve">Для </w:t>
      </w:r>
      <w:r w:rsidR="00CE5B5F">
        <w:rPr>
          <w:rFonts w:ascii="Times New Roman" w:eastAsia="Times New Roman" w:hAnsi="Times New Roman" w:cs="Times New Roman"/>
          <w:bCs/>
          <w:sz w:val="28"/>
          <w:szCs w:val="28"/>
        </w:rPr>
        <w:t>обеспечения</w:t>
      </w:r>
      <w:r w:rsidRPr="001532F8">
        <w:rPr>
          <w:rFonts w:ascii="Times New Roman" w:eastAsia="Times New Roman" w:hAnsi="Times New Roman" w:cs="Times New Roman"/>
          <w:bCs/>
          <w:sz w:val="28"/>
          <w:szCs w:val="28"/>
        </w:rPr>
        <w:t xml:space="preserve"> безопасности персонала</w:t>
      </w:r>
      <w:r w:rsidRPr="001532F8">
        <w:rPr>
          <w:rFonts w:ascii="Times New Roman" w:eastAsia="Times New Roman" w:hAnsi="Times New Roman" w:cs="Times New Roman"/>
          <w:sz w:val="28"/>
          <w:szCs w:val="28"/>
        </w:rPr>
        <w:t xml:space="preserve"> применяются различные контроллеры, одним из видов которых являются </w:t>
      </w:r>
      <w:r w:rsidRPr="001532F8">
        <w:rPr>
          <w:rFonts w:ascii="Times New Roman" w:eastAsia="Times New Roman" w:hAnsi="Times New Roman" w:cs="Times New Roman"/>
          <w:bCs/>
          <w:sz w:val="28"/>
          <w:szCs w:val="28"/>
        </w:rPr>
        <w:t xml:space="preserve">газоанализаторы </w:t>
      </w:r>
      <w:r w:rsidRPr="001532F8">
        <w:rPr>
          <w:rFonts w:ascii="Times New Roman" w:eastAsia="Times New Roman" w:hAnsi="Times New Roman" w:cs="Times New Roman"/>
          <w:sz w:val="28"/>
          <w:szCs w:val="28"/>
        </w:rPr>
        <w:t>(газосигнализаторы). Эти приборы призваны измерять концентрацию определенных компонентов в газовых смесях.</w:t>
      </w:r>
    </w:p>
    <w:p w:rsidR="008819BE" w:rsidRPr="001532F8" w:rsidRDefault="008819BE" w:rsidP="008819BE">
      <w:pPr>
        <w:spacing w:after="0" w:line="360" w:lineRule="auto"/>
        <w:ind w:left="0" w:firstLine="567"/>
        <w:rPr>
          <w:rFonts w:ascii="Times New Roman" w:eastAsia="Times New Roman" w:hAnsi="Times New Roman" w:cs="Times New Roman"/>
          <w:sz w:val="28"/>
          <w:szCs w:val="28"/>
        </w:rPr>
      </w:pPr>
      <w:r w:rsidRPr="001532F8">
        <w:rPr>
          <w:rFonts w:ascii="Times New Roman" w:eastAsia="Times New Roman" w:hAnsi="Times New Roman" w:cs="Times New Roman"/>
          <w:b/>
          <w:bCs/>
          <w:sz w:val="28"/>
          <w:szCs w:val="28"/>
        </w:rPr>
        <w:lastRenderedPageBreak/>
        <w:t xml:space="preserve">Руководствуясь Федеральным закон от 21 июля 1997 г. N 116-ФЗ "О промышленной безопасности опасных производственных объектов" </w:t>
      </w:r>
    </w:p>
    <w:p w:rsidR="008819BE" w:rsidRPr="001532F8" w:rsidRDefault="008819BE" w:rsidP="008819BE">
      <w:pPr>
        <w:spacing w:after="0" w:line="360" w:lineRule="auto"/>
        <w:ind w:left="0" w:firstLine="567"/>
        <w:rPr>
          <w:rFonts w:ascii="Times New Roman" w:eastAsia="Times New Roman" w:hAnsi="Times New Roman" w:cs="Times New Roman"/>
          <w:sz w:val="28"/>
          <w:szCs w:val="28"/>
        </w:rPr>
      </w:pPr>
      <w:proofErr w:type="gramStart"/>
      <w:r w:rsidRPr="001532F8">
        <w:rPr>
          <w:rFonts w:ascii="Times New Roman" w:eastAsia="Times New Roman" w:hAnsi="Times New Roman" w:cs="Times New Roman"/>
          <w:b/>
          <w:bCs/>
          <w:sz w:val="28"/>
          <w:szCs w:val="28"/>
        </w:rPr>
        <w:t>ООО «</w:t>
      </w:r>
      <w:proofErr w:type="spellStart"/>
      <w:r w:rsidRPr="001532F8">
        <w:rPr>
          <w:rFonts w:ascii="Times New Roman" w:eastAsia="Times New Roman" w:hAnsi="Times New Roman" w:cs="Times New Roman"/>
          <w:b/>
          <w:bCs/>
          <w:sz w:val="28"/>
          <w:szCs w:val="28"/>
        </w:rPr>
        <w:t>Промприбор-Р</w:t>
      </w:r>
      <w:proofErr w:type="spellEnd"/>
      <w:r w:rsidRPr="001532F8">
        <w:rPr>
          <w:rFonts w:ascii="Times New Roman" w:eastAsia="Times New Roman" w:hAnsi="Times New Roman" w:cs="Times New Roman"/>
          <w:b/>
          <w:bCs/>
          <w:sz w:val="28"/>
          <w:szCs w:val="28"/>
        </w:rPr>
        <w:t>»</w:t>
      </w:r>
      <w:r w:rsidRPr="001532F8">
        <w:rPr>
          <w:rFonts w:ascii="Times New Roman" w:eastAsia="Times New Roman" w:hAnsi="Times New Roman" w:cs="Times New Roman"/>
          <w:sz w:val="28"/>
          <w:szCs w:val="28"/>
        </w:rPr>
        <w:t xml:space="preserve"> разработало и серийно выпускает линейку стационарных и переносных газоанализаторов СИГМА-03 и СИГНАЛ-4, а так же </w:t>
      </w:r>
      <w:proofErr w:type="spellStart"/>
      <w:r w:rsidRPr="001532F8">
        <w:rPr>
          <w:rFonts w:ascii="Times New Roman" w:eastAsia="Times New Roman" w:hAnsi="Times New Roman" w:cs="Times New Roman"/>
          <w:sz w:val="28"/>
          <w:szCs w:val="28"/>
        </w:rPr>
        <w:t>мультигазовый</w:t>
      </w:r>
      <w:proofErr w:type="spellEnd"/>
      <w:r w:rsidRPr="001532F8">
        <w:rPr>
          <w:rFonts w:ascii="Times New Roman" w:eastAsia="Times New Roman" w:hAnsi="Times New Roman" w:cs="Times New Roman"/>
          <w:sz w:val="28"/>
          <w:szCs w:val="28"/>
        </w:rPr>
        <w:t xml:space="preserve"> переносной газоанализатор АЛЬФА (в данный момент готовятся испытательные образцы для прохождения сертификации.</w:t>
      </w:r>
      <w:proofErr w:type="gramEnd"/>
    </w:p>
    <w:p w:rsidR="008819BE" w:rsidRPr="001532F8" w:rsidRDefault="008819BE" w:rsidP="008819BE">
      <w:pPr>
        <w:spacing w:after="0" w:line="360" w:lineRule="auto"/>
        <w:ind w:left="0"/>
        <w:rPr>
          <w:rFonts w:ascii="Times New Roman" w:eastAsia="Times New Roman" w:hAnsi="Times New Roman" w:cs="Times New Roman"/>
          <w:sz w:val="28"/>
          <w:szCs w:val="28"/>
        </w:rPr>
      </w:pPr>
      <w:r w:rsidRPr="001532F8">
        <w:rPr>
          <w:rFonts w:ascii="Times New Roman" w:eastAsia="Times New Roman" w:hAnsi="Times New Roman" w:cs="Times New Roman"/>
          <w:sz w:val="28"/>
          <w:szCs w:val="28"/>
        </w:rPr>
        <w:t>Область применения.</w:t>
      </w:r>
    </w:p>
    <w:p w:rsidR="008819BE" w:rsidRPr="001532F8" w:rsidRDefault="0032755F" w:rsidP="008819BE">
      <w:pPr>
        <w:spacing w:after="0" w:line="360" w:lineRule="auto"/>
        <w:ind w:left="0"/>
        <w:rPr>
          <w:rFonts w:ascii="Times New Roman" w:eastAsia="Times New Roman" w:hAnsi="Times New Roman" w:cs="Times New Roman"/>
          <w:sz w:val="28"/>
          <w:szCs w:val="28"/>
        </w:rPr>
      </w:pPr>
      <w:r w:rsidRPr="001532F8">
        <w:rPr>
          <w:rFonts w:ascii="Times New Roman" w:eastAsia="Times New Roman" w:hAnsi="Times New Roman" w:cs="Times New Roman"/>
          <w:sz w:val="28"/>
          <w:szCs w:val="28"/>
        </w:rPr>
        <w:t xml:space="preserve">- </w:t>
      </w:r>
      <w:r w:rsidR="008819BE" w:rsidRPr="001532F8">
        <w:rPr>
          <w:rFonts w:ascii="Times New Roman" w:eastAsia="Times New Roman" w:hAnsi="Times New Roman" w:cs="Times New Roman"/>
          <w:sz w:val="28"/>
          <w:szCs w:val="28"/>
        </w:rPr>
        <w:t xml:space="preserve">Энергетика: контроль </w:t>
      </w:r>
      <w:proofErr w:type="spellStart"/>
      <w:r w:rsidR="008819BE" w:rsidRPr="001532F8">
        <w:rPr>
          <w:rFonts w:ascii="Times New Roman" w:eastAsia="Times New Roman" w:hAnsi="Times New Roman" w:cs="Times New Roman"/>
          <w:sz w:val="28"/>
          <w:szCs w:val="28"/>
        </w:rPr>
        <w:t>гексафторида</w:t>
      </w:r>
      <w:proofErr w:type="spellEnd"/>
      <w:r w:rsidR="008819BE" w:rsidRPr="001532F8">
        <w:rPr>
          <w:rFonts w:ascii="Times New Roman" w:eastAsia="Times New Roman" w:hAnsi="Times New Roman" w:cs="Times New Roman"/>
          <w:sz w:val="28"/>
          <w:szCs w:val="28"/>
        </w:rPr>
        <w:t xml:space="preserve"> серы </w:t>
      </w:r>
      <w:proofErr w:type="spellStart"/>
      <w:r w:rsidR="008819BE" w:rsidRPr="001532F8">
        <w:rPr>
          <w:rFonts w:ascii="Times New Roman" w:eastAsia="Times New Roman" w:hAnsi="Times New Roman" w:cs="Times New Roman"/>
          <w:sz w:val="28"/>
          <w:szCs w:val="28"/>
        </w:rPr>
        <w:t>элегаза</w:t>
      </w:r>
      <w:proofErr w:type="spellEnd"/>
      <w:r w:rsidR="008819BE" w:rsidRPr="001532F8">
        <w:rPr>
          <w:rFonts w:ascii="Times New Roman" w:eastAsia="Times New Roman" w:hAnsi="Times New Roman" w:cs="Times New Roman"/>
          <w:sz w:val="28"/>
          <w:szCs w:val="28"/>
        </w:rPr>
        <w:t xml:space="preserve"> (SF6) в помещениях комплектных распределительных устройствах с </w:t>
      </w:r>
      <w:proofErr w:type="spellStart"/>
      <w:r w:rsidR="008819BE" w:rsidRPr="001532F8">
        <w:rPr>
          <w:rFonts w:ascii="Times New Roman" w:eastAsia="Times New Roman" w:hAnsi="Times New Roman" w:cs="Times New Roman"/>
          <w:sz w:val="28"/>
          <w:szCs w:val="28"/>
        </w:rPr>
        <w:t>элегазовой</w:t>
      </w:r>
      <w:proofErr w:type="spellEnd"/>
      <w:r w:rsidR="008819BE" w:rsidRPr="001532F8">
        <w:rPr>
          <w:rFonts w:ascii="Times New Roman" w:eastAsia="Times New Roman" w:hAnsi="Times New Roman" w:cs="Times New Roman"/>
          <w:sz w:val="28"/>
          <w:szCs w:val="28"/>
        </w:rPr>
        <w:t xml:space="preserve"> изоляцией (КРУЭ) 6-кВ-750 кВ, в соответствии с "Правилами технической эксплуатации электрических станций и сетей Р.Ф." (</w:t>
      </w:r>
      <w:proofErr w:type="spellStart"/>
      <w:proofErr w:type="gramStart"/>
      <w:r w:rsidR="008819BE" w:rsidRPr="001532F8">
        <w:rPr>
          <w:rFonts w:ascii="Times New Roman" w:eastAsia="Times New Roman" w:hAnsi="Times New Roman" w:cs="Times New Roman"/>
          <w:sz w:val="28"/>
          <w:szCs w:val="28"/>
        </w:rPr>
        <w:t>п</w:t>
      </w:r>
      <w:proofErr w:type="spellEnd"/>
      <w:proofErr w:type="gramEnd"/>
      <w:r w:rsidR="008819BE" w:rsidRPr="001532F8">
        <w:rPr>
          <w:rFonts w:ascii="Times New Roman" w:eastAsia="Times New Roman" w:hAnsi="Times New Roman" w:cs="Times New Roman"/>
          <w:sz w:val="28"/>
          <w:szCs w:val="28"/>
        </w:rPr>
        <w:t xml:space="preserve"> 5.4.4. и </w:t>
      </w:r>
      <w:proofErr w:type="spellStart"/>
      <w:r w:rsidR="008819BE" w:rsidRPr="001532F8">
        <w:rPr>
          <w:rFonts w:ascii="Times New Roman" w:eastAsia="Times New Roman" w:hAnsi="Times New Roman" w:cs="Times New Roman"/>
          <w:sz w:val="28"/>
          <w:szCs w:val="28"/>
        </w:rPr>
        <w:t>п</w:t>
      </w:r>
      <w:proofErr w:type="spellEnd"/>
      <w:r w:rsidR="008819BE" w:rsidRPr="001532F8">
        <w:rPr>
          <w:rFonts w:ascii="Times New Roman" w:eastAsia="Times New Roman" w:hAnsi="Times New Roman" w:cs="Times New Roman"/>
          <w:sz w:val="28"/>
          <w:szCs w:val="28"/>
        </w:rPr>
        <w:t xml:space="preserve"> 5.4.2.6.)</w:t>
      </w:r>
    </w:p>
    <w:p w:rsidR="008819BE" w:rsidRPr="001532F8" w:rsidRDefault="0032755F" w:rsidP="008819BE">
      <w:pPr>
        <w:spacing w:after="0" w:line="360" w:lineRule="auto"/>
        <w:ind w:left="0"/>
        <w:rPr>
          <w:rFonts w:ascii="Times New Roman" w:eastAsia="Times New Roman" w:hAnsi="Times New Roman" w:cs="Times New Roman"/>
          <w:sz w:val="28"/>
          <w:szCs w:val="28"/>
        </w:rPr>
      </w:pPr>
      <w:r w:rsidRPr="001532F8">
        <w:rPr>
          <w:rFonts w:ascii="Times New Roman" w:eastAsia="Times New Roman" w:hAnsi="Times New Roman" w:cs="Times New Roman"/>
          <w:sz w:val="28"/>
          <w:szCs w:val="28"/>
        </w:rPr>
        <w:t xml:space="preserve">- </w:t>
      </w:r>
      <w:r w:rsidR="008819BE" w:rsidRPr="001532F8">
        <w:rPr>
          <w:rFonts w:ascii="Times New Roman" w:eastAsia="Times New Roman" w:hAnsi="Times New Roman" w:cs="Times New Roman"/>
          <w:sz w:val="28"/>
          <w:szCs w:val="28"/>
        </w:rPr>
        <w:t xml:space="preserve">Нефтегазовая отрасль: нефтебазы, АЗС, АГНКС, ремонт и обслуживание емкостей и цистерн для светлых нефтепродуктов, газопроводы и нефтепроводы, установка на автоцистерны, </w:t>
      </w:r>
      <w:proofErr w:type="spellStart"/>
      <w:r w:rsidR="008819BE" w:rsidRPr="001532F8">
        <w:rPr>
          <w:rFonts w:ascii="Times New Roman" w:eastAsia="Times New Roman" w:hAnsi="Times New Roman" w:cs="Times New Roman"/>
          <w:sz w:val="28"/>
          <w:szCs w:val="28"/>
        </w:rPr>
        <w:t>автотопливозаправщики</w:t>
      </w:r>
      <w:proofErr w:type="spellEnd"/>
      <w:r w:rsidR="008819BE" w:rsidRPr="001532F8">
        <w:rPr>
          <w:rFonts w:ascii="Times New Roman" w:eastAsia="Times New Roman" w:hAnsi="Times New Roman" w:cs="Times New Roman"/>
          <w:sz w:val="28"/>
          <w:szCs w:val="28"/>
        </w:rPr>
        <w:t xml:space="preserve"> (АТЗ) для транспортировки темных и светлых нефтепродуктов, для оснащения НАСФ (нештатные аварийно спасательные формирования) </w:t>
      </w:r>
      <w:proofErr w:type="spellStart"/>
      <w:r w:rsidR="008819BE" w:rsidRPr="001532F8">
        <w:rPr>
          <w:rFonts w:ascii="Times New Roman" w:eastAsia="Times New Roman" w:hAnsi="Times New Roman" w:cs="Times New Roman"/>
          <w:sz w:val="28"/>
          <w:szCs w:val="28"/>
        </w:rPr>
        <w:t>Лукойл</w:t>
      </w:r>
      <w:proofErr w:type="spellEnd"/>
      <w:r w:rsidR="008819BE" w:rsidRPr="001532F8">
        <w:rPr>
          <w:rFonts w:ascii="Times New Roman" w:eastAsia="Times New Roman" w:hAnsi="Times New Roman" w:cs="Times New Roman"/>
          <w:sz w:val="28"/>
          <w:szCs w:val="28"/>
        </w:rPr>
        <w:t>, Газпром, Газпром нефть, Роснефть и т.д. (</w:t>
      </w:r>
      <w:proofErr w:type="gramStart"/>
      <w:r w:rsidR="008819BE" w:rsidRPr="001532F8">
        <w:rPr>
          <w:rFonts w:ascii="Times New Roman" w:eastAsia="Times New Roman" w:hAnsi="Times New Roman" w:cs="Times New Roman"/>
          <w:sz w:val="28"/>
          <w:szCs w:val="28"/>
        </w:rPr>
        <w:t>контроль за</w:t>
      </w:r>
      <w:proofErr w:type="gramEnd"/>
      <w:r w:rsidR="008819BE" w:rsidRPr="001532F8">
        <w:rPr>
          <w:rFonts w:ascii="Times New Roman" w:eastAsia="Times New Roman" w:hAnsi="Times New Roman" w:cs="Times New Roman"/>
          <w:sz w:val="28"/>
          <w:szCs w:val="28"/>
        </w:rPr>
        <w:t xml:space="preserve"> утечкой паров углеводородов);</w:t>
      </w:r>
    </w:p>
    <w:p w:rsidR="008819BE" w:rsidRPr="001532F8" w:rsidRDefault="0032755F" w:rsidP="008819BE">
      <w:pPr>
        <w:spacing w:after="0" w:line="360" w:lineRule="auto"/>
        <w:ind w:left="0"/>
        <w:rPr>
          <w:rFonts w:ascii="Times New Roman" w:eastAsia="Times New Roman" w:hAnsi="Times New Roman" w:cs="Times New Roman"/>
          <w:sz w:val="28"/>
          <w:szCs w:val="28"/>
        </w:rPr>
      </w:pPr>
      <w:r w:rsidRPr="001532F8">
        <w:rPr>
          <w:rFonts w:ascii="Times New Roman" w:eastAsia="Times New Roman" w:hAnsi="Times New Roman" w:cs="Times New Roman"/>
          <w:sz w:val="28"/>
          <w:szCs w:val="28"/>
        </w:rPr>
        <w:t xml:space="preserve">- </w:t>
      </w:r>
      <w:r w:rsidR="008819BE" w:rsidRPr="001532F8">
        <w:rPr>
          <w:rFonts w:ascii="Times New Roman" w:eastAsia="Times New Roman" w:hAnsi="Times New Roman" w:cs="Times New Roman"/>
          <w:sz w:val="28"/>
          <w:szCs w:val="28"/>
        </w:rPr>
        <w:t>Коммунальное хозяйство: службы водоканала, газовые службы, телефонные и кабельные сети в коллекторах (</w:t>
      </w:r>
      <w:proofErr w:type="gramStart"/>
      <w:r w:rsidR="008819BE" w:rsidRPr="001532F8">
        <w:rPr>
          <w:rFonts w:ascii="Times New Roman" w:eastAsia="Times New Roman" w:hAnsi="Times New Roman" w:cs="Times New Roman"/>
          <w:sz w:val="28"/>
          <w:szCs w:val="28"/>
        </w:rPr>
        <w:t>контроль за</w:t>
      </w:r>
      <w:proofErr w:type="gramEnd"/>
      <w:r w:rsidR="008819BE" w:rsidRPr="001532F8">
        <w:rPr>
          <w:rFonts w:ascii="Times New Roman" w:eastAsia="Times New Roman" w:hAnsi="Times New Roman" w:cs="Times New Roman"/>
          <w:sz w:val="28"/>
          <w:szCs w:val="28"/>
        </w:rPr>
        <w:t xml:space="preserve"> утечкой и превышением ПДК природного газа и токсичных веществ);</w:t>
      </w:r>
    </w:p>
    <w:p w:rsidR="008819BE" w:rsidRPr="001532F8" w:rsidRDefault="0032755F" w:rsidP="008819BE">
      <w:pPr>
        <w:spacing w:after="0" w:line="360" w:lineRule="auto"/>
        <w:ind w:left="0"/>
        <w:rPr>
          <w:rFonts w:ascii="Times New Roman" w:eastAsia="Times New Roman" w:hAnsi="Times New Roman" w:cs="Times New Roman"/>
          <w:sz w:val="28"/>
          <w:szCs w:val="28"/>
        </w:rPr>
      </w:pPr>
      <w:r w:rsidRPr="001532F8">
        <w:rPr>
          <w:rFonts w:ascii="Times New Roman" w:eastAsia="Times New Roman" w:hAnsi="Times New Roman" w:cs="Times New Roman"/>
          <w:sz w:val="28"/>
          <w:szCs w:val="28"/>
        </w:rPr>
        <w:t xml:space="preserve">- </w:t>
      </w:r>
      <w:r w:rsidR="008819BE" w:rsidRPr="001532F8">
        <w:rPr>
          <w:rFonts w:ascii="Times New Roman" w:eastAsia="Times New Roman" w:hAnsi="Times New Roman" w:cs="Times New Roman"/>
          <w:sz w:val="28"/>
          <w:szCs w:val="28"/>
        </w:rPr>
        <w:t xml:space="preserve">Хладокомбинаты, </w:t>
      </w:r>
      <w:proofErr w:type="spellStart"/>
      <w:proofErr w:type="gramStart"/>
      <w:r w:rsidR="008819BE" w:rsidRPr="001532F8">
        <w:rPr>
          <w:rFonts w:ascii="Times New Roman" w:eastAsia="Times New Roman" w:hAnsi="Times New Roman" w:cs="Times New Roman"/>
          <w:sz w:val="28"/>
          <w:szCs w:val="28"/>
        </w:rPr>
        <w:t>мясо-молочные</w:t>
      </w:r>
      <w:proofErr w:type="spellEnd"/>
      <w:proofErr w:type="gramEnd"/>
      <w:r w:rsidR="008819BE" w:rsidRPr="001532F8">
        <w:rPr>
          <w:rFonts w:ascii="Times New Roman" w:eastAsia="Times New Roman" w:hAnsi="Times New Roman" w:cs="Times New Roman"/>
          <w:sz w:val="28"/>
          <w:szCs w:val="28"/>
        </w:rPr>
        <w:t xml:space="preserve"> производства, стратегические холодильники, пив заводы, консервные заводы (контроль за утечкой аммиака);</w:t>
      </w:r>
    </w:p>
    <w:p w:rsidR="008819BE" w:rsidRPr="001532F8" w:rsidRDefault="0032755F" w:rsidP="008819BE">
      <w:pPr>
        <w:spacing w:after="0" w:line="360" w:lineRule="auto"/>
        <w:ind w:left="0"/>
        <w:rPr>
          <w:rFonts w:ascii="Times New Roman" w:eastAsia="Times New Roman" w:hAnsi="Times New Roman" w:cs="Times New Roman"/>
          <w:sz w:val="28"/>
          <w:szCs w:val="28"/>
        </w:rPr>
      </w:pPr>
      <w:r w:rsidRPr="001532F8">
        <w:rPr>
          <w:rFonts w:ascii="Times New Roman" w:eastAsia="Times New Roman" w:hAnsi="Times New Roman" w:cs="Times New Roman"/>
          <w:sz w:val="28"/>
          <w:szCs w:val="28"/>
        </w:rPr>
        <w:t xml:space="preserve">- </w:t>
      </w:r>
      <w:r w:rsidR="008819BE" w:rsidRPr="001532F8">
        <w:rPr>
          <w:rFonts w:ascii="Times New Roman" w:eastAsia="Times New Roman" w:hAnsi="Times New Roman" w:cs="Times New Roman"/>
          <w:sz w:val="28"/>
          <w:szCs w:val="28"/>
        </w:rPr>
        <w:t>Автохозяйства и подземные паркинги (контроль угарного газа);</w:t>
      </w:r>
    </w:p>
    <w:p w:rsidR="008819BE" w:rsidRPr="001532F8" w:rsidRDefault="0032755F" w:rsidP="008819BE">
      <w:pPr>
        <w:spacing w:after="0" w:line="360" w:lineRule="auto"/>
        <w:ind w:left="0"/>
        <w:rPr>
          <w:rFonts w:ascii="Times New Roman" w:eastAsia="Times New Roman" w:hAnsi="Times New Roman" w:cs="Times New Roman"/>
          <w:sz w:val="28"/>
          <w:szCs w:val="28"/>
        </w:rPr>
      </w:pPr>
      <w:r w:rsidRPr="001532F8">
        <w:rPr>
          <w:rFonts w:ascii="Times New Roman" w:eastAsia="Times New Roman" w:hAnsi="Times New Roman" w:cs="Times New Roman"/>
          <w:sz w:val="28"/>
          <w:szCs w:val="28"/>
        </w:rPr>
        <w:t xml:space="preserve">- </w:t>
      </w:r>
      <w:r w:rsidR="008819BE" w:rsidRPr="001532F8">
        <w:rPr>
          <w:rFonts w:ascii="Times New Roman" w:eastAsia="Times New Roman" w:hAnsi="Times New Roman" w:cs="Times New Roman"/>
          <w:sz w:val="28"/>
          <w:szCs w:val="28"/>
        </w:rPr>
        <w:t>Металлургическая промышленность;</w:t>
      </w:r>
    </w:p>
    <w:p w:rsidR="008819BE" w:rsidRPr="001532F8" w:rsidRDefault="008819BE" w:rsidP="008819BE">
      <w:pPr>
        <w:spacing w:after="0" w:line="360" w:lineRule="auto"/>
        <w:ind w:left="0"/>
        <w:rPr>
          <w:rFonts w:ascii="Times New Roman" w:eastAsia="Times New Roman" w:hAnsi="Times New Roman" w:cs="Times New Roman"/>
          <w:sz w:val="28"/>
          <w:szCs w:val="28"/>
        </w:rPr>
      </w:pPr>
      <w:r w:rsidRPr="001532F8">
        <w:rPr>
          <w:rFonts w:ascii="Times New Roman" w:eastAsia="Times New Roman" w:hAnsi="Times New Roman" w:cs="Times New Roman"/>
          <w:sz w:val="28"/>
          <w:szCs w:val="28"/>
        </w:rPr>
        <w:t>МЧС – оснащение НАСФ (ПРИКАЗ от 23 декабря 2005г. №999)</w:t>
      </w:r>
    </w:p>
    <w:p w:rsidR="008819BE" w:rsidRPr="001532F8" w:rsidRDefault="008819BE" w:rsidP="008819BE">
      <w:pPr>
        <w:spacing w:after="0" w:line="360" w:lineRule="auto"/>
        <w:ind w:left="0"/>
        <w:rPr>
          <w:rFonts w:ascii="Times New Roman" w:eastAsia="Times New Roman" w:hAnsi="Times New Roman" w:cs="Times New Roman"/>
          <w:sz w:val="28"/>
          <w:szCs w:val="28"/>
        </w:rPr>
      </w:pPr>
      <w:r w:rsidRPr="001532F8">
        <w:rPr>
          <w:rFonts w:ascii="Times New Roman" w:eastAsia="Times New Roman" w:hAnsi="Times New Roman" w:cs="Times New Roman"/>
          <w:sz w:val="28"/>
          <w:szCs w:val="28"/>
        </w:rPr>
        <w:t>РЖД – оснащение НАСФ (Распоряжение №2920р от 31 декабря 2008г.)</w:t>
      </w:r>
      <w:r w:rsidR="0032755F" w:rsidRPr="001532F8">
        <w:rPr>
          <w:rFonts w:ascii="Times New Roman" w:eastAsia="Times New Roman" w:hAnsi="Times New Roman" w:cs="Times New Roman"/>
          <w:sz w:val="28"/>
          <w:szCs w:val="28"/>
        </w:rPr>
        <w:t>.</w:t>
      </w:r>
    </w:p>
    <w:p w:rsidR="008819BE" w:rsidRPr="001532F8" w:rsidRDefault="008819BE" w:rsidP="008819BE">
      <w:pPr>
        <w:spacing w:after="0" w:line="360" w:lineRule="auto"/>
        <w:ind w:left="0"/>
        <w:rPr>
          <w:rFonts w:ascii="Times New Roman" w:eastAsia="Times New Roman" w:hAnsi="Times New Roman" w:cs="Times New Roman"/>
          <w:sz w:val="28"/>
          <w:szCs w:val="28"/>
        </w:rPr>
      </w:pPr>
      <w:r w:rsidRPr="001532F8">
        <w:rPr>
          <w:rFonts w:ascii="Times New Roman" w:eastAsia="Times New Roman" w:hAnsi="Times New Roman" w:cs="Times New Roman"/>
          <w:sz w:val="28"/>
          <w:szCs w:val="28"/>
        </w:rPr>
        <w:t>а так же при контроле окружающей среды в местах отбора проб, подвалах, колодцах, коллекторах подземных коммуникаций, в котельных и др. помещениях технологических объектов.</w:t>
      </w:r>
    </w:p>
    <w:p w:rsidR="0016377B" w:rsidRPr="001532F8" w:rsidRDefault="0016377B"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При химических авариях для защиты от АХОВ достаточно эффективно используются индивидуальные средства защиты.</w:t>
      </w:r>
    </w:p>
    <w:p w:rsidR="004B00FE" w:rsidRPr="001532F8" w:rsidRDefault="0016377B" w:rsidP="005C0470">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lastRenderedPageBreak/>
        <w:t>При этом производственный персонал химически опасных объектов для защиты от АХОВ использует изолирующие дыхательные аппараты (изолирующие противогазы) или промышленные фильтрующие противогазы, рассчитанные на защиту от определенных АХОВ, характерных для соответствующих объектов, а также индивидуальные средства защиты кожи. Например, средства защиты кожи типа КИХ-4, КИХ-5 защищают персонал от жидких АХОВ. Средства индивидуальной защиты для персонала объектов, как правило, хранятся на рабочих местах и, при необходимости, могут быть применены немедленно.</w:t>
      </w:r>
    </w:p>
    <w:p w:rsidR="0016377B" w:rsidRPr="001532F8" w:rsidRDefault="0016377B" w:rsidP="00FB144B">
      <w:pPr>
        <w:spacing w:after="0"/>
        <w:ind w:left="0" w:firstLine="567"/>
        <w:rPr>
          <w:rFonts w:ascii="Times New Roman" w:hAnsi="Times New Roman" w:cs="Times New Roman"/>
          <w:sz w:val="28"/>
          <w:szCs w:val="28"/>
        </w:rPr>
      </w:pPr>
      <w:r w:rsidRPr="001532F8">
        <w:rPr>
          <w:rFonts w:ascii="Times New Roman" w:hAnsi="Times New Roman" w:cs="Times New Roman"/>
          <w:sz w:val="28"/>
          <w:szCs w:val="28"/>
        </w:rPr>
        <w:t>Характеристика основных аварийно химически опасных веществ</w:t>
      </w:r>
      <w:r w:rsidR="001C4083" w:rsidRPr="001532F8">
        <w:rPr>
          <w:rFonts w:ascii="Times New Roman" w:hAnsi="Times New Roman" w:cs="Times New Roman"/>
          <w:sz w:val="28"/>
          <w:szCs w:val="28"/>
        </w:rPr>
        <w:t>:</w:t>
      </w:r>
    </w:p>
    <w:tbl>
      <w:tblPr>
        <w:tblStyle w:val="a3"/>
        <w:tblpPr w:leftFromText="180" w:rightFromText="180" w:vertAnchor="text" w:horzAnchor="margin" w:tblpY="20"/>
        <w:tblW w:w="0" w:type="auto"/>
        <w:tblLayout w:type="fixed"/>
        <w:tblLook w:val="04A0"/>
      </w:tblPr>
      <w:tblGrid>
        <w:gridCol w:w="533"/>
        <w:gridCol w:w="1843"/>
        <w:gridCol w:w="1134"/>
        <w:gridCol w:w="993"/>
        <w:gridCol w:w="850"/>
        <w:gridCol w:w="856"/>
        <w:gridCol w:w="992"/>
        <w:gridCol w:w="1128"/>
        <w:gridCol w:w="6"/>
        <w:gridCol w:w="1426"/>
      </w:tblGrid>
      <w:tr w:rsidR="00FB144B" w:rsidTr="00FB144B">
        <w:tc>
          <w:tcPr>
            <w:tcW w:w="533" w:type="dxa"/>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w:t>
            </w:r>
          </w:p>
          <w:p w:rsidR="00FB144B" w:rsidRPr="00F4566F" w:rsidRDefault="00FB144B" w:rsidP="00FB144B">
            <w:pPr>
              <w:ind w:left="0"/>
              <w:jc w:val="center"/>
              <w:rPr>
                <w:sz w:val="20"/>
                <w:szCs w:val="20"/>
              </w:rPr>
            </w:pPr>
            <w:proofErr w:type="spellStart"/>
            <w:proofErr w:type="gramStart"/>
            <w:r w:rsidRPr="00F4566F">
              <w:rPr>
                <w:rFonts w:ascii="Times New Roman" w:eastAsia="Times New Roman" w:hAnsi="Times New Roman" w:cs="Times New Roman"/>
                <w:color w:val="000000"/>
                <w:sz w:val="20"/>
                <w:szCs w:val="20"/>
                <w:lang w:eastAsia="ru-RU"/>
              </w:rPr>
              <w:t>п</w:t>
            </w:r>
            <w:proofErr w:type="spellEnd"/>
            <w:proofErr w:type="gramEnd"/>
            <w:r w:rsidRPr="00F4566F">
              <w:rPr>
                <w:rFonts w:ascii="Times New Roman" w:eastAsia="Times New Roman" w:hAnsi="Times New Roman" w:cs="Times New Roman"/>
                <w:color w:val="000000"/>
                <w:sz w:val="20"/>
                <w:szCs w:val="20"/>
                <w:lang w:eastAsia="ru-RU"/>
              </w:rPr>
              <w:t>/</w:t>
            </w:r>
            <w:proofErr w:type="spellStart"/>
            <w:r w:rsidRPr="00F4566F">
              <w:rPr>
                <w:rFonts w:ascii="Times New Roman" w:eastAsia="Times New Roman" w:hAnsi="Times New Roman" w:cs="Times New Roman"/>
                <w:color w:val="000000"/>
                <w:sz w:val="20"/>
                <w:szCs w:val="20"/>
                <w:lang w:eastAsia="ru-RU"/>
              </w:rPr>
              <w:t>п</w:t>
            </w:r>
            <w:proofErr w:type="spellEnd"/>
          </w:p>
        </w:tc>
        <w:tc>
          <w:tcPr>
            <w:tcW w:w="1843" w:type="dxa"/>
          </w:tcPr>
          <w:p w:rsidR="00FB144B" w:rsidRPr="00F4566F" w:rsidRDefault="00FB144B" w:rsidP="00FB144B">
            <w:pPr>
              <w:ind w:left="0"/>
              <w:jc w:val="center"/>
              <w:rPr>
                <w:sz w:val="20"/>
                <w:szCs w:val="20"/>
              </w:rPr>
            </w:pPr>
            <w:r w:rsidRPr="00F4566F">
              <w:rPr>
                <w:rFonts w:ascii="Times New Roman" w:eastAsia="Times New Roman" w:hAnsi="Times New Roman" w:cs="Times New Roman"/>
                <w:color w:val="000000"/>
                <w:sz w:val="20"/>
                <w:szCs w:val="20"/>
                <w:lang w:eastAsia="ru-RU"/>
              </w:rPr>
              <w:t>Наименование АХОВ</w:t>
            </w:r>
          </w:p>
        </w:tc>
        <w:tc>
          <w:tcPr>
            <w:tcW w:w="2977" w:type="dxa"/>
            <w:gridSpan w:val="3"/>
          </w:tcPr>
          <w:p w:rsidR="00FB144B" w:rsidRPr="00F4566F" w:rsidRDefault="00FB144B" w:rsidP="00FB144B">
            <w:pPr>
              <w:ind w:left="0"/>
              <w:jc w:val="center"/>
              <w:rPr>
                <w:rFonts w:ascii="Times New Roman" w:hAnsi="Times New Roman" w:cs="Times New Roman"/>
                <w:sz w:val="20"/>
                <w:szCs w:val="20"/>
              </w:rPr>
            </w:pPr>
            <w:r w:rsidRPr="00F4566F">
              <w:rPr>
                <w:rFonts w:ascii="Times New Roman" w:hAnsi="Times New Roman" w:cs="Times New Roman"/>
                <w:sz w:val="20"/>
                <w:szCs w:val="20"/>
              </w:rPr>
              <w:t>Физические свойства</w:t>
            </w:r>
          </w:p>
        </w:tc>
        <w:tc>
          <w:tcPr>
            <w:tcW w:w="2982" w:type="dxa"/>
            <w:gridSpan w:val="4"/>
          </w:tcPr>
          <w:p w:rsidR="00FB144B" w:rsidRPr="00F4566F" w:rsidRDefault="00FB144B" w:rsidP="00FB144B">
            <w:pPr>
              <w:ind w:left="0"/>
              <w:jc w:val="center"/>
              <w:rPr>
                <w:rFonts w:ascii="Times New Roman" w:hAnsi="Times New Roman" w:cs="Times New Roman"/>
                <w:sz w:val="20"/>
                <w:szCs w:val="20"/>
              </w:rPr>
            </w:pPr>
            <w:r w:rsidRPr="00F4566F">
              <w:rPr>
                <w:rFonts w:ascii="Times New Roman" w:hAnsi="Times New Roman" w:cs="Times New Roman"/>
                <w:sz w:val="20"/>
                <w:szCs w:val="20"/>
              </w:rPr>
              <w:t>Токсические свойства</w:t>
            </w:r>
          </w:p>
        </w:tc>
        <w:tc>
          <w:tcPr>
            <w:tcW w:w="142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Средства защиты</w:t>
            </w:r>
          </w:p>
        </w:tc>
      </w:tr>
      <w:tr w:rsidR="00FB144B" w:rsidTr="00FB144B">
        <w:trPr>
          <w:trHeight w:val="638"/>
        </w:trPr>
        <w:tc>
          <w:tcPr>
            <w:tcW w:w="533" w:type="dxa"/>
            <w:vMerge w:val="restart"/>
          </w:tcPr>
          <w:p w:rsidR="00FB144B" w:rsidRPr="00F4566F" w:rsidRDefault="00FB144B" w:rsidP="00FB144B">
            <w:pPr>
              <w:ind w:left="0"/>
              <w:jc w:val="center"/>
              <w:rPr>
                <w:sz w:val="20"/>
                <w:szCs w:val="20"/>
              </w:rPr>
            </w:pPr>
          </w:p>
        </w:tc>
        <w:tc>
          <w:tcPr>
            <w:tcW w:w="1843" w:type="dxa"/>
            <w:vMerge w:val="restart"/>
          </w:tcPr>
          <w:p w:rsidR="00FB144B" w:rsidRPr="00F4566F" w:rsidRDefault="00FB144B" w:rsidP="00FB144B">
            <w:pPr>
              <w:ind w:left="0"/>
              <w:jc w:val="center"/>
              <w:rPr>
                <w:sz w:val="20"/>
                <w:szCs w:val="20"/>
              </w:rPr>
            </w:pPr>
          </w:p>
        </w:tc>
        <w:tc>
          <w:tcPr>
            <w:tcW w:w="1134" w:type="dxa"/>
            <w:vMerge w:val="restart"/>
          </w:tcPr>
          <w:p w:rsidR="00FB144B" w:rsidRPr="00F4566F" w:rsidRDefault="00FB144B" w:rsidP="00FB144B">
            <w:pPr>
              <w:ind w:left="0"/>
              <w:jc w:val="center"/>
              <w:rPr>
                <w:sz w:val="20"/>
                <w:szCs w:val="20"/>
              </w:rPr>
            </w:pPr>
            <w:r w:rsidRPr="00F4566F">
              <w:rPr>
                <w:rFonts w:ascii="Times New Roman" w:eastAsia="Times New Roman" w:hAnsi="Times New Roman" w:cs="Times New Roman"/>
                <w:color w:val="000000"/>
                <w:sz w:val="20"/>
                <w:szCs w:val="20"/>
                <w:lang w:eastAsia="ru-RU"/>
              </w:rPr>
              <w:t>Агрегатное состояние при 20</w:t>
            </w:r>
            <w:proofErr w:type="gramStart"/>
            <w:r w:rsidRPr="00F4566F">
              <w:rPr>
                <w:rFonts w:ascii="Times New Roman" w:eastAsia="Times New Roman" w:hAnsi="Times New Roman" w:cs="Times New Roman"/>
                <w:color w:val="000000"/>
                <w:sz w:val="20"/>
                <w:szCs w:val="20"/>
                <w:lang w:eastAsia="ru-RU"/>
              </w:rPr>
              <w:t>°С</w:t>
            </w:r>
            <w:proofErr w:type="gramEnd"/>
          </w:p>
        </w:tc>
        <w:tc>
          <w:tcPr>
            <w:tcW w:w="993" w:type="dxa"/>
            <w:vMerge w:val="restart"/>
          </w:tcPr>
          <w:p w:rsidR="00FB144B" w:rsidRPr="00F4566F" w:rsidRDefault="00FB144B" w:rsidP="00FB144B">
            <w:pPr>
              <w:ind w:left="0"/>
              <w:jc w:val="center"/>
              <w:rPr>
                <w:sz w:val="20"/>
                <w:szCs w:val="20"/>
              </w:rPr>
            </w:pPr>
            <w:r w:rsidRPr="00F4566F">
              <w:rPr>
                <w:rFonts w:ascii="Times New Roman" w:eastAsia="Times New Roman" w:hAnsi="Times New Roman" w:cs="Times New Roman"/>
                <w:color w:val="000000"/>
                <w:sz w:val="20"/>
                <w:szCs w:val="20"/>
                <w:lang w:eastAsia="ru-RU"/>
              </w:rPr>
              <w:t xml:space="preserve">Плотность жидкости, </w:t>
            </w:r>
            <w:proofErr w:type="gramStart"/>
            <w:r w:rsidRPr="00F4566F">
              <w:rPr>
                <w:rFonts w:ascii="Times New Roman" w:eastAsia="Times New Roman" w:hAnsi="Times New Roman" w:cs="Times New Roman"/>
                <w:color w:val="000000"/>
                <w:sz w:val="20"/>
                <w:szCs w:val="20"/>
                <w:lang w:eastAsia="ru-RU"/>
              </w:rPr>
              <w:t>г</w:t>
            </w:r>
            <w:proofErr w:type="gramEnd"/>
            <w:r w:rsidRPr="00F4566F">
              <w:rPr>
                <w:rFonts w:ascii="Times New Roman" w:eastAsia="Times New Roman" w:hAnsi="Times New Roman" w:cs="Times New Roman"/>
                <w:color w:val="000000"/>
                <w:sz w:val="20"/>
                <w:szCs w:val="20"/>
                <w:lang w:eastAsia="ru-RU"/>
              </w:rPr>
              <w:t>/см3</w:t>
            </w:r>
          </w:p>
        </w:tc>
        <w:tc>
          <w:tcPr>
            <w:tcW w:w="850" w:type="dxa"/>
            <w:vMerge w:val="restart"/>
          </w:tcPr>
          <w:p w:rsidR="00FB144B" w:rsidRPr="00F4566F" w:rsidRDefault="00FB144B" w:rsidP="00FB144B">
            <w:pPr>
              <w:ind w:left="0"/>
              <w:jc w:val="center"/>
              <w:rPr>
                <w:rFonts w:ascii="Times New Roman" w:hAnsi="Times New Roman" w:cs="Times New Roman"/>
                <w:sz w:val="20"/>
                <w:szCs w:val="20"/>
              </w:rPr>
            </w:pPr>
            <w:r w:rsidRPr="00F4566F">
              <w:rPr>
                <w:rFonts w:ascii="Times New Roman" w:hAnsi="Times New Roman" w:cs="Times New Roman"/>
                <w:color w:val="000000"/>
                <w:sz w:val="20"/>
                <w:szCs w:val="20"/>
              </w:rPr>
              <w:t>Температура кипения, °</w:t>
            </w:r>
            <w:proofErr w:type="gramStart"/>
            <w:r w:rsidRPr="00F4566F">
              <w:rPr>
                <w:rFonts w:ascii="Times New Roman" w:hAnsi="Times New Roman" w:cs="Times New Roman"/>
                <w:color w:val="000000"/>
                <w:sz w:val="20"/>
                <w:szCs w:val="20"/>
              </w:rPr>
              <w:t>С</w:t>
            </w:r>
            <w:proofErr w:type="gramEnd"/>
          </w:p>
        </w:tc>
        <w:tc>
          <w:tcPr>
            <w:tcW w:w="856" w:type="dxa"/>
            <w:tcBorders>
              <w:bottom w:val="single" w:sz="4" w:space="0" w:color="auto"/>
            </w:tcBorders>
          </w:tcPr>
          <w:p w:rsidR="00FB144B" w:rsidRPr="00F4566F" w:rsidRDefault="00FB144B" w:rsidP="00FB144B">
            <w:pPr>
              <w:pStyle w:val="a4"/>
              <w:jc w:val="center"/>
              <w:rPr>
                <w:color w:val="000000"/>
                <w:sz w:val="20"/>
                <w:szCs w:val="20"/>
              </w:rPr>
            </w:pPr>
            <w:r w:rsidRPr="00F4566F">
              <w:rPr>
                <w:color w:val="000000"/>
                <w:sz w:val="20"/>
                <w:szCs w:val="20"/>
              </w:rPr>
              <w:t xml:space="preserve">Пороговая </w:t>
            </w:r>
            <w:proofErr w:type="spellStart"/>
            <w:r w:rsidRPr="00F4566F">
              <w:rPr>
                <w:color w:val="000000"/>
                <w:sz w:val="20"/>
                <w:szCs w:val="20"/>
              </w:rPr>
              <w:t>токсодоза</w:t>
            </w:r>
            <w:proofErr w:type="spellEnd"/>
            <w:r w:rsidRPr="00F4566F">
              <w:rPr>
                <w:color w:val="000000"/>
                <w:sz w:val="20"/>
                <w:szCs w:val="20"/>
              </w:rPr>
              <w:t>,</w:t>
            </w:r>
          </w:p>
        </w:tc>
        <w:tc>
          <w:tcPr>
            <w:tcW w:w="2126" w:type="dxa"/>
            <w:gridSpan w:val="3"/>
            <w:tcBorders>
              <w:bottom w:val="single" w:sz="4" w:space="0" w:color="auto"/>
            </w:tcBorders>
          </w:tcPr>
          <w:p w:rsidR="00FB144B" w:rsidRPr="00F4566F" w:rsidRDefault="00FB144B" w:rsidP="00FB144B">
            <w:pPr>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ПДК*</w:t>
            </w:r>
          </w:p>
          <w:p w:rsidR="00FB144B" w:rsidRPr="00F4566F" w:rsidRDefault="00FB144B" w:rsidP="00FB144B">
            <w:pPr>
              <w:ind w:left="0"/>
              <w:jc w:val="center"/>
              <w:rPr>
                <w:sz w:val="20"/>
                <w:szCs w:val="20"/>
              </w:rPr>
            </w:pPr>
            <w:r w:rsidRPr="00F4566F">
              <w:rPr>
                <w:rFonts w:ascii="Times New Roman" w:eastAsia="Times New Roman" w:hAnsi="Times New Roman" w:cs="Times New Roman"/>
                <w:color w:val="000000"/>
                <w:sz w:val="20"/>
                <w:szCs w:val="20"/>
                <w:lang w:eastAsia="ru-RU"/>
              </w:rPr>
              <w:t>мг/м3</w:t>
            </w:r>
          </w:p>
        </w:tc>
        <w:tc>
          <w:tcPr>
            <w:tcW w:w="1426" w:type="dxa"/>
            <w:vMerge w:val="restart"/>
          </w:tcPr>
          <w:p w:rsidR="00FB144B" w:rsidRPr="00F4566F" w:rsidRDefault="00FB144B" w:rsidP="00FB144B">
            <w:pPr>
              <w:ind w:left="0"/>
              <w:jc w:val="center"/>
              <w:rPr>
                <w:sz w:val="20"/>
                <w:szCs w:val="20"/>
              </w:rPr>
            </w:pPr>
            <w:r w:rsidRPr="00F4566F">
              <w:rPr>
                <w:rFonts w:ascii="Times New Roman" w:eastAsia="Times New Roman" w:hAnsi="Times New Roman" w:cs="Times New Roman"/>
                <w:color w:val="000000"/>
                <w:sz w:val="20"/>
                <w:szCs w:val="20"/>
                <w:lang w:eastAsia="ru-RU"/>
              </w:rPr>
              <w:t>Промышленные противогазы</w:t>
            </w:r>
          </w:p>
        </w:tc>
      </w:tr>
      <w:tr w:rsidR="00FB144B" w:rsidTr="00FB144B">
        <w:trPr>
          <w:trHeight w:val="503"/>
        </w:trPr>
        <w:tc>
          <w:tcPr>
            <w:tcW w:w="533" w:type="dxa"/>
            <w:vMerge/>
          </w:tcPr>
          <w:p w:rsidR="00FB144B" w:rsidRPr="00F4566F" w:rsidRDefault="00FB144B" w:rsidP="00FB144B">
            <w:pPr>
              <w:ind w:left="0"/>
              <w:jc w:val="center"/>
              <w:rPr>
                <w:sz w:val="20"/>
                <w:szCs w:val="20"/>
              </w:rPr>
            </w:pPr>
          </w:p>
        </w:tc>
        <w:tc>
          <w:tcPr>
            <w:tcW w:w="1843" w:type="dxa"/>
            <w:vMerge/>
          </w:tcPr>
          <w:p w:rsidR="00FB144B" w:rsidRPr="00F4566F" w:rsidRDefault="00FB144B" w:rsidP="00FB144B">
            <w:pPr>
              <w:ind w:left="0"/>
              <w:jc w:val="center"/>
              <w:rPr>
                <w:sz w:val="20"/>
                <w:szCs w:val="20"/>
              </w:rPr>
            </w:pPr>
          </w:p>
        </w:tc>
        <w:tc>
          <w:tcPr>
            <w:tcW w:w="1134" w:type="dxa"/>
            <w:vMerge/>
          </w:tcPr>
          <w:p w:rsidR="00FB144B" w:rsidRPr="00F4566F" w:rsidRDefault="00FB144B" w:rsidP="00FB144B">
            <w:pPr>
              <w:ind w:left="0"/>
              <w:jc w:val="center"/>
              <w:rPr>
                <w:rFonts w:ascii="Times New Roman" w:eastAsia="Times New Roman" w:hAnsi="Times New Roman" w:cs="Times New Roman"/>
                <w:color w:val="000000"/>
                <w:sz w:val="20"/>
                <w:szCs w:val="20"/>
                <w:lang w:eastAsia="ru-RU"/>
              </w:rPr>
            </w:pPr>
          </w:p>
        </w:tc>
        <w:tc>
          <w:tcPr>
            <w:tcW w:w="993" w:type="dxa"/>
            <w:vMerge/>
          </w:tcPr>
          <w:p w:rsidR="00FB144B" w:rsidRPr="00F4566F" w:rsidRDefault="00FB144B" w:rsidP="00FB144B">
            <w:pPr>
              <w:ind w:left="0"/>
              <w:jc w:val="center"/>
              <w:rPr>
                <w:rFonts w:ascii="Times New Roman" w:eastAsia="Times New Roman" w:hAnsi="Times New Roman" w:cs="Times New Roman"/>
                <w:color w:val="000000"/>
                <w:sz w:val="20"/>
                <w:szCs w:val="20"/>
                <w:lang w:eastAsia="ru-RU"/>
              </w:rPr>
            </w:pPr>
          </w:p>
        </w:tc>
        <w:tc>
          <w:tcPr>
            <w:tcW w:w="850" w:type="dxa"/>
            <w:vMerge/>
          </w:tcPr>
          <w:p w:rsidR="00FB144B" w:rsidRPr="00F4566F" w:rsidRDefault="00FB144B" w:rsidP="00FB144B">
            <w:pPr>
              <w:ind w:left="0"/>
              <w:jc w:val="center"/>
              <w:rPr>
                <w:rFonts w:ascii="Times New Roman" w:hAnsi="Times New Roman" w:cs="Times New Roman"/>
                <w:color w:val="000000"/>
                <w:sz w:val="20"/>
                <w:szCs w:val="20"/>
              </w:rPr>
            </w:pPr>
          </w:p>
        </w:tc>
        <w:tc>
          <w:tcPr>
            <w:tcW w:w="856" w:type="dxa"/>
            <w:tcBorders>
              <w:top w:val="single" w:sz="4" w:space="0" w:color="auto"/>
            </w:tcBorders>
          </w:tcPr>
          <w:p w:rsidR="00FB144B" w:rsidRPr="00F4566F" w:rsidRDefault="00FB144B" w:rsidP="00FB144B">
            <w:pPr>
              <w:pStyle w:val="a4"/>
              <w:jc w:val="center"/>
              <w:rPr>
                <w:color w:val="000000"/>
                <w:sz w:val="20"/>
                <w:szCs w:val="20"/>
              </w:rPr>
            </w:pPr>
            <w:r w:rsidRPr="00F4566F">
              <w:rPr>
                <w:color w:val="000000"/>
                <w:sz w:val="20"/>
                <w:szCs w:val="20"/>
              </w:rPr>
              <w:t>мг</w:t>
            </w:r>
            <w:proofErr w:type="gramStart"/>
            <w:r w:rsidRPr="00F4566F">
              <w:rPr>
                <w:color w:val="000000"/>
                <w:sz w:val="20"/>
                <w:szCs w:val="20"/>
              </w:rPr>
              <w:t>.</w:t>
            </w:r>
            <w:proofErr w:type="gramEnd"/>
            <w:r w:rsidRPr="00F4566F">
              <w:rPr>
                <w:color w:val="000000"/>
                <w:sz w:val="20"/>
                <w:szCs w:val="20"/>
              </w:rPr>
              <w:t xml:space="preserve"> </w:t>
            </w:r>
            <w:proofErr w:type="gramStart"/>
            <w:r w:rsidRPr="00F4566F">
              <w:rPr>
                <w:color w:val="000000"/>
                <w:sz w:val="20"/>
                <w:szCs w:val="20"/>
              </w:rPr>
              <w:t>м</w:t>
            </w:r>
            <w:proofErr w:type="gramEnd"/>
            <w:r w:rsidRPr="00F4566F">
              <w:rPr>
                <w:color w:val="000000"/>
                <w:sz w:val="20"/>
                <w:szCs w:val="20"/>
              </w:rPr>
              <w:t>ин./л</w:t>
            </w:r>
          </w:p>
        </w:tc>
        <w:tc>
          <w:tcPr>
            <w:tcW w:w="992" w:type="dxa"/>
            <w:tcBorders>
              <w:top w:val="single" w:sz="4" w:space="0" w:color="auto"/>
              <w:right w:val="single" w:sz="4" w:space="0" w:color="auto"/>
            </w:tcBorders>
          </w:tcPr>
          <w:p w:rsidR="00FB144B" w:rsidRPr="00F4566F" w:rsidRDefault="00FB144B" w:rsidP="00FB144B">
            <w:pPr>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рабочей зоны</w:t>
            </w:r>
          </w:p>
        </w:tc>
        <w:tc>
          <w:tcPr>
            <w:tcW w:w="1134" w:type="dxa"/>
            <w:gridSpan w:val="2"/>
            <w:tcBorders>
              <w:top w:val="single" w:sz="4" w:space="0" w:color="auto"/>
              <w:left w:val="single" w:sz="4" w:space="0" w:color="auto"/>
            </w:tcBorders>
          </w:tcPr>
          <w:p w:rsidR="00FB144B" w:rsidRPr="00F4566F" w:rsidRDefault="00FB144B" w:rsidP="00FB144B">
            <w:pPr>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населенных пунктов</w:t>
            </w:r>
          </w:p>
        </w:tc>
        <w:tc>
          <w:tcPr>
            <w:tcW w:w="1426" w:type="dxa"/>
            <w:vMerge/>
          </w:tcPr>
          <w:p w:rsidR="00FB144B" w:rsidRPr="00F4566F" w:rsidRDefault="00FB144B" w:rsidP="00FB144B">
            <w:pPr>
              <w:ind w:left="0"/>
              <w:jc w:val="center"/>
              <w:rPr>
                <w:rFonts w:ascii="Times New Roman" w:eastAsia="Times New Roman" w:hAnsi="Times New Roman" w:cs="Times New Roman"/>
                <w:color w:val="000000"/>
                <w:sz w:val="20"/>
                <w:szCs w:val="20"/>
                <w:lang w:eastAsia="ru-RU"/>
              </w:rPr>
            </w:pPr>
          </w:p>
        </w:tc>
      </w:tr>
      <w:tr w:rsidR="00FB144B" w:rsidTr="00FB144B">
        <w:tc>
          <w:tcPr>
            <w:tcW w:w="533" w:type="dxa"/>
          </w:tcPr>
          <w:p w:rsidR="00FB144B" w:rsidRPr="00F4566F" w:rsidRDefault="00FB144B" w:rsidP="00FB144B">
            <w:pPr>
              <w:ind w:left="0"/>
              <w:jc w:val="center"/>
              <w:rPr>
                <w:rFonts w:ascii="Times New Roman" w:hAnsi="Times New Roman" w:cs="Times New Roman"/>
                <w:sz w:val="20"/>
                <w:szCs w:val="20"/>
              </w:rPr>
            </w:pPr>
            <w:r w:rsidRPr="00F4566F">
              <w:rPr>
                <w:rFonts w:ascii="Times New Roman" w:hAnsi="Times New Roman" w:cs="Times New Roman"/>
                <w:sz w:val="20"/>
                <w:szCs w:val="20"/>
              </w:rPr>
              <w:t>1.</w:t>
            </w:r>
          </w:p>
        </w:tc>
        <w:tc>
          <w:tcPr>
            <w:tcW w:w="1843" w:type="dxa"/>
          </w:tcPr>
          <w:p w:rsidR="00FB144B" w:rsidRPr="00F4566F" w:rsidRDefault="00FB144B" w:rsidP="00FB144B">
            <w:pPr>
              <w:ind w:left="0"/>
              <w:jc w:val="center"/>
              <w:rPr>
                <w:rFonts w:ascii="Times New Roman" w:hAnsi="Times New Roman" w:cs="Times New Roman"/>
                <w:sz w:val="20"/>
                <w:szCs w:val="20"/>
              </w:rPr>
            </w:pPr>
            <w:r w:rsidRPr="00F4566F">
              <w:rPr>
                <w:rFonts w:ascii="Times New Roman" w:eastAsia="Times New Roman" w:hAnsi="Times New Roman" w:cs="Times New Roman"/>
                <w:color w:val="000000"/>
                <w:sz w:val="20"/>
                <w:szCs w:val="20"/>
                <w:lang w:eastAsia="ru-RU"/>
              </w:rPr>
              <w:t>Азотная кислота</w:t>
            </w:r>
          </w:p>
        </w:tc>
        <w:tc>
          <w:tcPr>
            <w:tcW w:w="1134" w:type="dxa"/>
          </w:tcPr>
          <w:p w:rsidR="00FB144B" w:rsidRPr="00F4566F" w:rsidRDefault="00FB144B" w:rsidP="00FB144B">
            <w:pPr>
              <w:ind w:left="0"/>
              <w:jc w:val="center"/>
              <w:rPr>
                <w:rFonts w:ascii="Times New Roman" w:hAnsi="Times New Roman" w:cs="Times New Roman"/>
                <w:sz w:val="20"/>
                <w:szCs w:val="20"/>
              </w:rPr>
            </w:pPr>
            <w:r w:rsidRPr="00F4566F">
              <w:rPr>
                <w:rFonts w:ascii="Times New Roman" w:eastAsia="Times New Roman" w:hAnsi="Times New Roman" w:cs="Times New Roman"/>
                <w:color w:val="000000"/>
                <w:sz w:val="20"/>
                <w:szCs w:val="20"/>
                <w:lang w:eastAsia="ru-RU"/>
              </w:rPr>
              <w:t>жидкость</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1,51</w:t>
            </w:r>
          </w:p>
        </w:tc>
        <w:tc>
          <w:tcPr>
            <w:tcW w:w="850"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83,8</w:t>
            </w:r>
          </w:p>
        </w:tc>
        <w:tc>
          <w:tcPr>
            <w:tcW w:w="85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1,5</w:t>
            </w:r>
          </w:p>
        </w:tc>
        <w:tc>
          <w:tcPr>
            <w:tcW w:w="992" w:type="dxa"/>
            <w:tcBorders>
              <w:right w:val="single" w:sz="4" w:space="0" w:color="auto"/>
            </w:tcBorders>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5,0</w:t>
            </w:r>
          </w:p>
        </w:tc>
        <w:tc>
          <w:tcPr>
            <w:tcW w:w="1134" w:type="dxa"/>
            <w:gridSpan w:val="2"/>
            <w:tcBorders>
              <w:left w:val="single" w:sz="4" w:space="0" w:color="auto"/>
            </w:tcBorders>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0,15</w:t>
            </w:r>
          </w:p>
        </w:tc>
        <w:tc>
          <w:tcPr>
            <w:tcW w:w="1426" w:type="dxa"/>
          </w:tcPr>
          <w:p w:rsidR="00FB144B" w:rsidRPr="00F4566F" w:rsidRDefault="00FB144B" w:rsidP="00FB144B">
            <w:pPr>
              <w:ind w:left="0"/>
              <w:jc w:val="center"/>
              <w:rPr>
                <w:rFonts w:ascii="Times New Roman" w:hAnsi="Times New Roman" w:cs="Times New Roman"/>
                <w:sz w:val="20"/>
                <w:szCs w:val="20"/>
              </w:rPr>
            </w:pPr>
            <w:r w:rsidRPr="00F4566F">
              <w:rPr>
                <w:rFonts w:ascii="Times New Roman" w:eastAsia="Times New Roman" w:hAnsi="Times New Roman" w:cs="Times New Roman"/>
                <w:color w:val="000000"/>
                <w:sz w:val="20"/>
                <w:szCs w:val="20"/>
                <w:lang w:eastAsia="ru-RU"/>
              </w:rPr>
              <w:t>В, ГП-5 + ППГ</w:t>
            </w:r>
          </w:p>
        </w:tc>
      </w:tr>
      <w:tr w:rsidR="00FB144B" w:rsidRPr="0017778C" w:rsidTr="00FB144B">
        <w:tc>
          <w:tcPr>
            <w:tcW w:w="53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2.</w:t>
            </w:r>
          </w:p>
        </w:tc>
        <w:tc>
          <w:tcPr>
            <w:tcW w:w="184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Аммиак</w:t>
            </w:r>
          </w:p>
        </w:tc>
        <w:tc>
          <w:tcPr>
            <w:tcW w:w="1134"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газ</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0,68</w:t>
            </w:r>
          </w:p>
        </w:tc>
        <w:tc>
          <w:tcPr>
            <w:tcW w:w="850"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- 33,4</w:t>
            </w:r>
          </w:p>
        </w:tc>
        <w:tc>
          <w:tcPr>
            <w:tcW w:w="85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15</w:t>
            </w:r>
          </w:p>
        </w:tc>
        <w:tc>
          <w:tcPr>
            <w:tcW w:w="992" w:type="dxa"/>
            <w:tcBorders>
              <w:right w:val="single" w:sz="4" w:space="0" w:color="auto"/>
            </w:tcBorders>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20,0</w:t>
            </w:r>
          </w:p>
        </w:tc>
        <w:tc>
          <w:tcPr>
            <w:tcW w:w="1134" w:type="dxa"/>
            <w:gridSpan w:val="2"/>
            <w:tcBorders>
              <w:left w:val="single" w:sz="4" w:space="0" w:color="auto"/>
            </w:tcBorders>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0,04</w:t>
            </w:r>
          </w:p>
        </w:tc>
        <w:tc>
          <w:tcPr>
            <w:tcW w:w="1426" w:type="dxa"/>
          </w:tcPr>
          <w:p w:rsidR="00FB144B" w:rsidRPr="00F4566F" w:rsidRDefault="00FB144B" w:rsidP="00FB144B">
            <w:pPr>
              <w:ind w:left="0"/>
              <w:jc w:val="center"/>
              <w:rPr>
                <w:rFonts w:ascii="Times New Roman" w:hAnsi="Times New Roman" w:cs="Times New Roman"/>
                <w:sz w:val="20"/>
                <w:szCs w:val="20"/>
              </w:rPr>
            </w:pPr>
          </w:p>
        </w:tc>
      </w:tr>
      <w:tr w:rsidR="00FB144B" w:rsidRPr="0017778C" w:rsidTr="00FB144B">
        <w:tc>
          <w:tcPr>
            <w:tcW w:w="53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3.</w:t>
            </w:r>
          </w:p>
          <w:p w:rsidR="00FB144B" w:rsidRPr="00F4566F" w:rsidRDefault="00FB144B" w:rsidP="00FB144B">
            <w:pPr>
              <w:jc w:val="center"/>
              <w:rPr>
                <w:rFonts w:ascii="Times New Roman" w:eastAsia="Times New Roman" w:hAnsi="Times New Roman" w:cs="Times New Roman"/>
                <w:sz w:val="20"/>
                <w:szCs w:val="20"/>
                <w:lang w:eastAsia="ru-RU"/>
              </w:rPr>
            </w:pPr>
          </w:p>
        </w:tc>
        <w:tc>
          <w:tcPr>
            <w:tcW w:w="184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proofErr w:type="spellStart"/>
            <w:r w:rsidRPr="00F4566F">
              <w:rPr>
                <w:rFonts w:ascii="Times New Roman" w:eastAsia="Times New Roman" w:hAnsi="Times New Roman" w:cs="Times New Roman"/>
                <w:color w:val="000000"/>
                <w:sz w:val="20"/>
                <w:szCs w:val="20"/>
                <w:lang w:eastAsia="ru-RU"/>
              </w:rPr>
              <w:t>Ацетононитрил</w:t>
            </w:r>
            <w:proofErr w:type="spellEnd"/>
          </w:p>
        </w:tc>
        <w:tc>
          <w:tcPr>
            <w:tcW w:w="1134"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жидкость</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0,786</w:t>
            </w:r>
          </w:p>
        </w:tc>
        <w:tc>
          <w:tcPr>
            <w:tcW w:w="850"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81</w:t>
            </w:r>
          </w:p>
        </w:tc>
        <w:tc>
          <w:tcPr>
            <w:tcW w:w="85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21,6</w:t>
            </w:r>
          </w:p>
        </w:tc>
        <w:tc>
          <w:tcPr>
            <w:tcW w:w="992" w:type="dxa"/>
            <w:tcBorders>
              <w:right w:val="single" w:sz="4" w:space="0" w:color="auto"/>
            </w:tcBorders>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10,0</w:t>
            </w:r>
          </w:p>
        </w:tc>
        <w:tc>
          <w:tcPr>
            <w:tcW w:w="1134" w:type="dxa"/>
            <w:gridSpan w:val="2"/>
            <w:tcBorders>
              <w:left w:val="single" w:sz="4" w:space="0" w:color="auto"/>
            </w:tcBorders>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0,002</w:t>
            </w:r>
          </w:p>
        </w:tc>
        <w:tc>
          <w:tcPr>
            <w:tcW w:w="142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А, В, ГП-5, ГП-7</w:t>
            </w:r>
          </w:p>
        </w:tc>
      </w:tr>
      <w:tr w:rsidR="00FB144B" w:rsidRPr="0017778C" w:rsidTr="00FB144B">
        <w:tc>
          <w:tcPr>
            <w:tcW w:w="53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4.</w:t>
            </w:r>
          </w:p>
        </w:tc>
        <w:tc>
          <w:tcPr>
            <w:tcW w:w="184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proofErr w:type="spellStart"/>
            <w:r w:rsidRPr="00F4566F">
              <w:rPr>
                <w:rFonts w:ascii="Times New Roman" w:eastAsia="Times New Roman" w:hAnsi="Times New Roman" w:cs="Times New Roman"/>
                <w:color w:val="000000"/>
                <w:sz w:val="20"/>
                <w:szCs w:val="20"/>
                <w:lang w:eastAsia="ru-RU"/>
              </w:rPr>
              <w:t>Ацетоциангидрин</w:t>
            </w:r>
            <w:proofErr w:type="spellEnd"/>
          </w:p>
        </w:tc>
        <w:tc>
          <w:tcPr>
            <w:tcW w:w="1134"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жидкость</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0,93</w:t>
            </w:r>
          </w:p>
        </w:tc>
        <w:tc>
          <w:tcPr>
            <w:tcW w:w="850"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120</w:t>
            </w:r>
          </w:p>
        </w:tc>
        <w:tc>
          <w:tcPr>
            <w:tcW w:w="85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0,54</w:t>
            </w:r>
          </w:p>
        </w:tc>
        <w:tc>
          <w:tcPr>
            <w:tcW w:w="992" w:type="dxa"/>
            <w:tcBorders>
              <w:right w:val="single" w:sz="4" w:space="0" w:color="auto"/>
            </w:tcBorders>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0,9</w:t>
            </w:r>
          </w:p>
        </w:tc>
        <w:tc>
          <w:tcPr>
            <w:tcW w:w="1134" w:type="dxa"/>
            <w:gridSpan w:val="2"/>
            <w:tcBorders>
              <w:left w:val="single" w:sz="4" w:space="0" w:color="auto"/>
            </w:tcBorders>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0,001</w:t>
            </w:r>
          </w:p>
        </w:tc>
        <w:tc>
          <w:tcPr>
            <w:tcW w:w="142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А, В, ГП-5, ГП-7, ПМК</w:t>
            </w:r>
          </w:p>
        </w:tc>
      </w:tr>
      <w:tr w:rsidR="00FB144B" w:rsidRPr="0017778C" w:rsidTr="00FB144B">
        <w:tc>
          <w:tcPr>
            <w:tcW w:w="53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5.</w:t>
            </w:r>
          </w:p>
        </w:tc>
        <w:tc>
          <w:tcPr>
            <w:tcW w:w="184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Водород хлористый</w:t>
            </w:r>
          </w:p>
        </w:tc>
        <w:tc>
          <w:tcPr>
            <w:tcW w:w="1134"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газ</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1,64</w:t>
            </w:r>
          </w:p>
        </w:tc>
        <w:tc>
          <w:tcPr>
            <w:tcW w:w="850"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- 85</w:t>
            </w:r>
          </w:p>
        </w:tc>
        <w:tc>
          <w:tcPr>
            <w:tcW w:w="85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2</w:t>
            </w:r>
          </w:p>
        </w:tc>
        <w:tc>
          <w:tcPr>
            <w:tcW w:w="992" w:type="dxa"/>
            <w:tcBorders>
              <w:right w:val="single" w:sz="4" w:space="0" w:color="auto"/>
            </w:tcBorders>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5,0</w:t>
            </w:r>
          </w:p>
        </w:tc>
        <w:tc>
          <w:tcPr>
            <w:tcW w:w="1134" w:type="dxa"/>
            <w:gridSpan w:val="2"/>
            <w:tcBorders>
              <w:left w:val="single" w:sz="4" w:space="0" w:color="auto"/>
            </w:tcBorders>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0,01</w:t>
            </w:r>
          </w:p>
        </w:tc>
        <w:tc>
          <w:tcPr>
            <w:tcW w:w="142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А, В, ГП-5, ГП-7, ПМК</w:t>
            </w:r>
          </w:p>
        </w:tc>
      </w:tr>
      <w:tr w:rsidR="00FB144B" w:rsidRPr="0017778C" w:rsidTr="00FB144B">
        <w:tc>
          <w:tcPr>
            <w:tcW w:w="53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6.</w:t>
            </w:r>
          </w:p>
        </w:tc>
        <w:tc>
          <w:tcPr>
            <w:tcW w:w="184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Водород фтористый</w:t>
            </w:r>
          </w:p>
        </w:tc>
        <w:tc>
          <w:tcPr>
            <w:tcW w:w="1134"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газ</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0,99</w:t>
            </w:r>
          </w:p>
        </w:tc>
        <w:tc>
          <w:tcPr>
            <w:tcW w:w="850" w:type="dxa"/>
            <w:tcBorders>
              <w:right w:val="single" w:sz="4" w:space="0" w:color="auto"/>
            </w:tcBorders>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19,5</w:t>
            </w:r>
          </w:p>
        </w:tc>
        <w:tc>
          <w:tcPr>
            <w:tcW w:w="856" w:type="dxa"/>
            <w:tcBorders>
              <w:left w:val="single" w:sz="4" w:space="0" w:color="auto"/>
              <w:right w:val="single" w:sz="4" w:space="0" w:color="auto"/>
            </w:tcBorders>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4</w:t>
            </w:r>
          </w:p>
        </w:tc>
        <w:tc>
          <w:tcPr>
            <w:tcW w:w="992" w:type="dxa"/>
            <w:tcBorders>
              <w:left w:val="single" w:sz="4" w:space="0" w:color="auto"/>
              <w:right w:val="single" w:sz="4" w:space="0" w:color="auto"/>
            </w:tcBorders>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0,5</w:t>
            </w:r>
          </w:p>
        </w:tc>
        <w:tc>
          <w:tcPr>
            <w:tcW w:w="1134" w:type="dxa"/>
            <w:gridSpan w:val="2"/>
            <w:tcBorders>
              <w:left w:val="single" w:sz="4" w:space="0" w:color="auto"/>
              <w:right w:val="single" w:sz="4" w:space="0" w:color="auto"/>
            </w:tcBorders>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0,005</w:t>
            </w:r>
          </w:p>
        </w:tc>
        <w:tc>
          <w:tcPr>
            <w:tcW w:w="1426" w:type="dxa"/>
            <w:tcBorders>
              <w:left w:val="single" w:sz="4" w:space="0" w:color="auto"/>
            </w:tcBorders>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А, В, БКФ</w:t>
            </w:r>
          </w:p>
        </w:tc>
      </w:tr>
      <w:tr w:rsidR="00FB144B" w:rsidTr="00FB1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9"/>
        </w:trPr>
        <w:tc>
          <w:tcPr>
            <w:tcW w:w="53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7.</w:t>
            </w:r>
          </w:p>
        </w:tc>
        <w:tc>
          <w:tcPr>
            <w:tcW w:w="184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Водород цианистый</w:t>
            </w:r>
          </w:p>
        </w:tc>
        <w:tc>
          <w:tcPr>
            <w:tcW w:w="1134"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жидкость</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0,69</w:t>
            </w:r>
          </w:p>
        </w:tc>
        <w:tc>
          <w:tcPr>
            <w:tcW w:w="850"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25,7</w:t>
            </w:r>
          </w:p>
        </w:tc>
        <w:tc>
          <w:tcPr>
            <w:tcW w:w="85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0,75</w:t>
            </w:r>
          </w:p>
        </w:tc>
        <w:tc>
          <w:tcPr>
            <w:tcW w:w="992"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0,3</w:t>
            </w:r>
          </w:p>
        </w:tc>
        <w:tc>
          <w:tcPr>
            <w:tcW w:w="1128"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0,01</w:t>
            </w:r>
          </w:p>
        </w:tc>
        <w:tc>
          <w:tcPr>
            <w:tcW w:w="1432" w:type="dxa"/>
            <w:gridSpan w:val="2"/>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В, ГП-5, ГП-7, ПМК</w:t>
            </w:r>
          </w:p>
        </w:tc>
      </w:tr>
      <w:tr w:rsidR="00FB144B" w:rsidTr="00FB1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53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8.</w:t>
            </w:r>
          </w:p>
        </w:tc>
        <w:tc>
          <w:tcPr>
            <w:tcW w:w="184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proofErr w:type="spellStart"/>
            <w:r w:rsidRPr="00F4566F">
              <w:rPr>
                <w:rFonts w:ascii="Times New Roman" w:eastAsia="Times New Roman" w:hAnsi="Times New Roman" w:cs="Times New Roman"/>
                <w:color w:val="000000"/>
                <w:sz w:val="20"/>
                <w:szCs w:val="20"/>
                <w:lang w:eastAsia="ru-RU"/>
              </w:rPr>
              <w:t>Диметиламин</w:t>
            </w:r>
            <w:proofErr w:type="spellEnd"/>
          </w:p>
        </w:tc>
        <w:tc>
          <w:tcPr>
            <w:tcW w:w="1134"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газ</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0,68</w:t>
            </w:r>
          </w:p>
        </w:tc>
        <w:tc>
          <w:tcPr>
            <w:tcW w:w="850"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6,9</w:t>
            </w:r>
          </w:p>
        </w:tc>
        <w:tc>
          <w:tcPr>
            <w:tcW w:w="85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1,8</w:t>
            </w:r>
          </w:p>
        </w:tc>
        <w:tc>
          <w:tcPr>
            <w:tcW w:w="992"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1,0</w:t>
            </w:r>
          </w:p>
        </w:tc>
        <w:tc>
          <w:tcPr>
            <w:tcW w:w="1128"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0,005</w:t>
            </w:r>
          </w:p>
        </w:tc>
        <w:tc>
          <w:tcPr>
            <w:tcW w:w="1432" w:type="dxa"/>
            <w:gridSpan w:val="2"/>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А, Г, ГП-5, ГП-7, ПМК</w:t>
            </w:r>
          </w:p>
        </w:tc>
      </w:tr>
      <w:tr w:rsidR="00FB144B" w:rsidTr="00FB1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8"/>
        </w:trPr>
        <w:tc>
          <w:tcPr>
            <w:tcW w:w="53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9.</w:t>
            </w:r>
          </w:p>
        </w:tc>
        <w:tc>
          <w:tcPr>
            <w:tcW w:w="184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Метиламин</w:t>
            </w:r>
          </w:p>
        </w:tc>
        <w:tc>
          <w:tcPr>
            <w:tcW w:w="1134"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газ</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0,7</w:t>
            </w:r>
          </w:p>
        </w:tc>
        <w:tc>
          <w:tcPr>
            <w:tcW w:w="850"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-6,5</w:t>
            </w:r>
          </w:p>
        </w:tc>
        <w:tc>
          <w:tcPr>
            <w:tcW w:w="85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4,8</w:t>
            </w:r>
          </w:p>
        </w:tc>
        <w:tc>
          <w:tcPr>
            <w:tcW w:w="992"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1,0</w:t>
            </w:r>
          </w:p>
        </w:tc>
        <w:tc>
          <w:tcPr>
            <w:tcW w:w="1128"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w:t>
            </w:r>
          </w:p>
        </w:tc>
        <w:tc>
          <w:tcPr>
            <w:tcW w:w="1432" w:type="dxa"/>
            <w:gridSpan w:val="2"/>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А, Г, ГП-7, ПМК</w:t>
            </w:r>
          </w:p>
        </w:tc>
      </w:tr>
      <w:tr w:rsidR="00FB144B" w:rsidTr="00FB1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6"/>
        </w:trPr>
        <w:tc>
          <w:tcPr>
            <w:tcW w:w="53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10.</w:t>
            </w:r>
          </w:p>
        </w:tc>
        <w:tc>
          <w:tcPr>
            <w:tcW w:w="184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Метил бромистый</w:t>
            </w:r>
          </w:p>
        </w:tc>
        <w:tc>
          <w:tcPr>
            <w:tcW w:w="1134"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газ</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1,73</w:t>
            </w:r>
          </w:p>
        </w:tc>
        <w:tc>
          <w:tcPr>
            <w:tcW w:w="850"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3,6</w:t>
            </w:r>
          </w:p>
        </w:tc>
        <w:tc>
          <w:tcPr>
            <w:tcW w:w="85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90</w:t>
            </w:r>
          </w:p>
        </w:tc>
        <w:tc>
          <w:tcPr>
            <w:tcW w:w="992"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0,1</w:t>
            </w:r>
          </w:p>
        </w:tc>
        <w:tc>
          <w:tcPr>
            <w:tcW w:w="1128"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w:t>
            </w:r>
          </w:p>
        </w:tc>
        <w:tc>
          <w:tcPr>
            <w:tcW w:w="1432" w:type="dxa"/>
            <w:gridSpan w:val="2"/>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А, ГП-5</w:t>
            </w:r>
          </w:p>
        </w:tc>
      </w:tr>
      <w:tr w:rsidR="00FB144B" w:rsidTr="00FB1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4"/>
        </w:trPr>
        <w:tc>
          <w:tcPr>
            <w:tcW w:w="53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11.</w:t>
            </w:r>
          </w:p>
        </w:tc>
        <w:tc>
          <w:tcPr>
            <w:tcW w:w="184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Метил хромистый</w:t>
            </w:r>
          </w:p>
        </w:tc>
        <w:tc>
          <w:tcPr>
            <w:tcW w:w="1134"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газ</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0,98</w:t>
            </w:r>
          </w:p>
        </w:tc>
        <w:tc>
          <w:tcPr>
            <w:tcW w:w="850"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-23,7</w:t>
            </w:r>
          </w:p>
        </w:tc>
        <w:tc>
          <w:tcPr>
            <w:tcW w:w="85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90</w:t>
            </w:r>
          </w:p>
        </w:tc>
        <w:tc>
          <w:tcPr>
            <w:tcW w:w="992"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20,0</w:t>
            </w:r>
          </w:p>
        </w:tc>
        <w:tc>
          <w:tcPr>
            <w:tcW w:w="1128"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w:t>
            </w:r>
          </w:p>
        </w:tc>
        <w:tc>
          <w:tcPr>
            <w:tcW w:w="1432" w:type="dxa"/>
            <w:gridSpan w:val="2"/>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ГП-5 + ППГ</w:t>
            </w:r>
          </w:p>
        </w:tc>
      </w:tr>
      <w:tr w:rsidR="00FB144B" w:rsidTr="00FB1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53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12</w:t>
            </w:r>
          </w:p>
        </w:tc>
        <w:tc>
          <w:tcPr>
            <w:tcW w:w="184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Нитрил акриловой кислоты</w:t>
            </w:r>
          </w:p>
        </w:tc>
        <w:tc>
          <w:tcPr>
            <w:tcW w:w="1134"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жидкость</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0,8</w:t>
            </w:r>
          </w:p>
        </w:tc>
        <w:tc>
          <w:tcPr>
            <w:tcW w:w="850"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77,3</w:t>
            </w:r>
          </w:p>
        </w:tc>
        <w:tc>
          <w:tcPr>
            <w:tcW w:w="85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0,75</w:t>
            </w:r>
          </w:p>
        </w:tc>
        <w:tc>
          <w:tcPr>
            <w:tcW w:w="992"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0,5</w:t>
            </w:r>
          </w:p>
        </w:tc>
        <w:tc>
          <w:tcPr>
            <w:tcW w:w="1128"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0,03</w:t>
            </w:r>
          </w:p>
        </w:tc>
        <w:tc>
          <w:tcPr>
            <w:tcW w:w="1432" w:type="dxa"/>
            <w:gridSpan w:val="2"/>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А, ГП-5, ГП-7, ПМК</w:t>
            </w:r>
          </w:p>
        </w:tc>
      </w:tr>
      <w:tr w:rsidR="00FB144B" w:rsidTr="00FB1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6"/>
        </w:trPr>
        <w:tc>
          <w:tcPr>
            <w:tcW w:w="53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13.</w:t>
            </w:r>
          </w:p>
        </w:tc>
        <w:tc>
          <w:tcPr>
            <w:tcW w:w="184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Окись этилена</w:t>
            </w:r>
          </w:p>
        </w:tc>
        <w:tc>
          <w:tcPr>
            <w:tcW w:w="1134"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газ</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0,9</w:t>
            </w:r>
          </w:p>
        </w:tc>
        <w:tc>
          <w:tcPr>
            <w:tcW w:w="850"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10,7</w:t>
            </w:r>
          </w:p>
        </w:tc>
        <w:tc>
          <w:tcPr>
            <w:tcW w:w="85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2,2</w:t>
            </w:r>
          </w:p>
        </w:tc>
        <w:tc>
          <w:tcPr>
            <w:tcW w:w="992"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1,0</w:t>
            </w:r>
          </w:p>
        </w:tc>
        <w:tc>
          <w:tcPr>
            <w:tcW w:w="1128"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0,3</w:t>
            </w:r>
          </w:p>
        </w:tc>
        <w:tc>
          <w:tcPr>
            <w:tcW w:w="1432" w:type="dxa"/>
            <w:gridSpan w:val="2"/>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М, ГП-5 + ППГ</w:t>
            </w:r>
          </w:p>
        </w:tc>
      </w:tr>
      <w:tr w:rsidR="00FB144B" w:rsidTr="00FB1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53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14.</w:t>
            </w:r>
          </w:p>
        </w:tc>
        <w:tc>
          <w:tcPr>
            <w:tcW w:w="184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Сернистый ангидрид</w:t>
            </w:r>
          </w:p>
        </w:tc>
        <w:tc>
          <w:tcPr>
            <w:tcW w:w="1134"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газ</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1,46</w:t>
            </w:r>
          </w:p>
        </w:tc>
        <w:tc>
          <w:tcPr>
            <w:tcW w:w="850"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-10,1</w:t>
            </w:r>
          </w:p>
        </w:tc>
        <w:tc>
          <w:tcPr>
            <w:tcW w:w="85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20</w:t>
            </w:r>
          </w:p>
        </w:tc>
        <w:tc>
          <w:tcPr>
            <w:tcW w:w="992"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10,0</w:t>
            </w:r>
          </w:p>
        </w:tc>
        <w:tc>
          <w:tcPr>
            <w:tcW w:w="1128"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0,05</w:t>
            </w:r>
          </w:p>
        </w:tc>
        <w:tc>
          <w:tcPr>
            <w:tcW w:w="1432" w:type="dxa"/>
            <w:gridSpan w:val="2"/>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В</w:t>
            </w:r>
          </w:p>
        </w:tc>
      </w:tr>
      <w:tr w:rsidR="00FB144B" w:rsidTr="00FB1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0"/>
        </w:trPr>
        <w:tc>
          <w:tcPr>
            <w:tcW w:w="53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15.</w:t>
            </w:r>
          </w:p>
        </w:tc>
        <w:tc>
          <w:tcPr>
            <w:tcW w:w="184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Сероводород</w:t>
            </w:r>
          </w:p>
        </w:tc>
        <w:tc>
          <w:tcPr>
            <w:tcW w:w="1134"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газ</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0,964</w:t>
            </w:r>
          </w:p>
        </w:tc>
        <w:tc>
          <w:tcPr>
            <w:tcW w:w="850"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-50,4</w:t>
            </w:r>
          </w:p>
        </w:tc>
        <w:tc>
          <w:tcPr>
            <w:tcW w:w="85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16,1</w:t>
            </w:r>
          </w:p>
        </w:tc>
        <w:tc>
          <w:tcPr>
            <w:tcW w:w="992"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10,0</w:t>
            </w:r>
          </w:p>
        </w:tc>
        <w:tc>
          <w:tcPr>
            <w:tcW w:w="1128"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0,008</w:t>
            </w:r>
          </w:p>
        </w:tc>
        <w:tc>
          <w:tcPr>
            <w:tcW w:w="1432" w:type="dxa"/>
            <w:gridSpan w:val="2"/>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КД, ГП-5, ГП-7, ПМК</w:t>
            </w:r>
          </w:p>
        </w:tc>
      </w:tr>
      <w:tr w:rsidR="00FB144B" w:rsidTr="00FB1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53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16.</w:t>
            </w:r>
          </w:p>
        </w:tc>
        <w:tc>
          <w:tcPr>
            <w:tcW w:w="184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Сероуглерод</w:t>
            </w:r>
          </w:p>
        </w:tc>
        <w:tc>
          <w:tcPr>
            <w:tcW w:w="1134"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жидкость</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1,26</w:t>
            </w:r>
          </w:p>
        </w:tc>
        <w:tc>
          <w:tcPr>
            <w:tcW w:w="850"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46,2</w:t>
            </w:r>
          </w:p>
        </w:tc>
        <w:tc>
          <w:tcPr>
            <w:tcW w:w="85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135</w:t>
            </w:r>
          </w:p>
        </w:tc>
        <w:tc>
          <w:tcPr>
            <w:tcW w:w="992"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1,0</w:t>
            </w:r>
          </w:p>
        </w:tc>
        <w:tc>
          <w:tcPr>
            <w:tcW w:w="1128"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0,005</w:t>
            </w:r>
          </w:p>
        </w:tc>
        <w:tc>
          <w:tcPr>
            <w:tcW w:w="1432" w:type="dxa"/>
            <w:gridSpan w:val="2"/>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ГП-5, ГП-7, ПМК</w:t>
            </w:r>
          </w:p>
        </w:tc>
      </w:tr>
      <w:tr w:rsidR="00FB144B" w:rsidTr="00FB1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53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17.</w:t>
            </w:r>
          </w:p>
        </w:tc>
        <w:tc>
          <w:tcPr>
            <w:tcW w:w="184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Соляная кислота</w:t>
            </w:r>
          </w:p>
        </w:tc>
        <w:tc>
          <w:tcPr>
            <w:tcW w:w="1134"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жидкость</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1,2</w:t>
            </w:r>
          </w:p>
        </w:tc>
        <w:tc>
          <w:tcPr>
            <w:tcW w:w="850"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108,6</w:t>
            </w:r>
          </w:p>
        </w:tc>
        <w:tc>
          <w:tcPr>
            <w:tcW w:w="85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2</w:t>
            </w:r>
          </w:p>
        </w:tc>
        <w:tc>
          <w:tcPr>
            <w:tcW w:w="992"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5,0</w:t>
            </w:r>
          </w:p>
        </w:tc>
        <w:tc>
          <w:tcPr>
            <w:tcW w:w="1128"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0,2</w:t>
            </w:r>
          </w:p>
        </w:tc>
        <w:tc>
          <w:tcPr>
            <w:tcW w:w="1432" w:type="dxa"/>
            <w:gridSpan w:val="2"/>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В, ГП-5, ГП-7, ПМК</w:t>
            </w:r>
          </w:p>
        </w:tc>
      </w:tr>
      <w:tr w:rsidR="00FB144B" w:rsidTr="00FB1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53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18.</w:t>
            </w:r>
          </w:p>
        </w:tc>
        <w:tc>
          <w:tcPr>
            <w:tcW w:w="184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Формальдегид</w:t>
            </w:r>
          </w:p>
        </w:tc>
        <w:tc>
          <w:tcPr>
            <w:tcW w:w="1134"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газ</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0,81</w:t>
            </w:r>
          </w:p>
        </w:tc>
        <w:tc>
          <w:tcPr>
            <w:tcW w:w="850"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-19</w:t>
            </w:r>
          </w:p>
        </w:tc>
        <w:tc>
          <w:tcPr>
            <w:tcW w:w="85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0,6</w:t>
            </w:r>
          </w:p>
        </w:tc>
        <w:tc>
          <w:tcPr>
            <w:tcW w:w="992"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0,5</w:t>
            </w:r>
          </w:p>
        </w:tc>
        <w:tc>
          <w:tcPr>
            <w:tcW w:w="1128"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0,003</w:t>
            </w:r>
          </w:p>
        </w:tc>
        <w:tc>
          <w:tcPr>
            <w:tcW w:w="1432" w:type="dxa"/>
            <w:gridSpan w:val="2"/>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А, ГП-5, ГП-</w:t>
            </w:r>
            <w:r w:rsidRPr="00F4566F">
              <w:rPr>
                <w:rFonts w:ascii="Times New Roman" w:eastAsia="Times New Roman" w:hAnsi="Times New Roman" w:cs="Times New Roman"/>
                <w:color w:val="000000"/>
                <w:sz w:val="20"/>
                <w:szCs w:val="20"/>
                <w:lang w:eastAsia="ru-RU"/>
              </w:rPr>
              <w:lastRenderedPageBreak/>
              <w:t>7, ПМК</w:t>
            </w:r>
          </w:p>
        </w:tc>
      </w:tr>
      <w:tr w:rsidR="00FB144B" w:rsidTr="00FB1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53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lastRenderedPageBreak/>
              <w:t>19.</w:t>
            </w:r>
          </w:p>
        </w:tc>
        <w:tc>
          <w:tcPr>
            <w:tcW w:w="184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Фосген</w:t>
            </w:r>
          </w:p>
        </w:tc>
        <w:tc>
          <w:tcPr>
            <w:tcW w:w="1134"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газ</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1,43</w:t>
            </w:r>
          </w:p>
        </w:tc>
        <w:tc>
          <w:tcPr>
            <w:tcW w:w="850"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8,2</w:t>
            </w:r>
          </w:p>
        </w:tc>
        <w:tc>
          <w:tcPr>
            <w:tcW w:w="85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0,6</w:t>
            </w:r>
          </w:p>
        </w:tc>
        <w:tc>
          <w:tcPr>
            <w:tcW w:w="992"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0,5</w:t>
            </w:r>
          </w:p>
        </w:tc>
        <w:tc>
          <w:tcPr>
            <w:tcW w:w="1128"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w:t>
            </w:r>
          </w:p>
        </w:tc>
        <w:tc>
          <w:tcPr>
            <w:tcW w:w="1432" w:type="dxa"/>
            <w:gridSpan w:val="2"/>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В, ГП-5, ГП-7, ПМК</w:t>
            </w:r>
          </w:p>
        </w:tc>
      </w:tr>
      <w:tr w:rsidR="00FB144B" w:rsidTr="00FB1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3"/>
        </w:trPr>
        <w:tc>
          <w:tcPr>
            <w:tcW w:w="53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20.</w:t>
            </w:r>
          </w:p>
        </w:tc>
        <w:tc>
          <w:tcPr>
            <w:tcW w:w="184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Хлор</w:t>
            </w:r>
          </w:p>
        </w:tc>
        <w:tc>
          <w:tcPr>
            <w:tcW w:w="1134"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газ</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1,56</w:t>
            </w:r>
          </w:p>
        </w:tc>
        <w:tc>
          <w:tcPr>
            <w:tcW w:w="850"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-34</w:t>
            </w:r>
          </w:p>
        </w:tc>
        <w:tc>
          <w:tcPr>
            <w:tcW w:w="85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0,6</w:t>
            </w:r>
          </w:p>
        </w:tc>
        <w:tc>
          <w:tcPr>
            <w:tcW w:w="992"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1,0</w:t>
            </w:r>
          </w:p>
        </w:tc>
        <w:tc>
          <w:tcPr>
            <w:tcW w:w="1128"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0,03</w:t>
            </w:r>
          </w:p>
        </w:tc>
        <w:tc>
          <w:tcPr>
            <w:tcW w:w="1432" w:type="dxa"/>
            <w:gridSpan w:val="2"/>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А, В, ГП-5, ГП-7, ПМК</w:t>
            </w:r>
          </w:p>
        </w:tc>
      </w:tr>
      <w:tr w:rsidR="00FB144B" w:rsidTr="00FB1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0"/>
        </w:trPr>
        <w:tc>
          <w:tcPr>
            <w:tcW w:w="53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21.</w:t>
            </w:r>
          </w:p>
        </w:tc>
        <w:tc>
          <w:tcPr>
            <w:tcW w:w="184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Хлорпикрин</w:t>
            </w:r>
          </w:p>
        </w:tc>
        <w:tc>
          <w:tcPr>
            <w:tcW w:w="1134"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жидкость</w:t>
            </w:r>
          </w:p>
        </w:tc>
        <w:tc>
          <w:tcPr>
            <w:tcW w:w="993"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1,66</w:t>
            </w:r>
          </w:p>
        </w:tc>
        <w:tc>
          <w:tcPr>
            <w:tcW w:w="850"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112</w:t>
            </w:r>
          </w:p>
        </w:tc>
        <w:tc>
          <w:tcPr>
            <w:tcW w:w="856"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0,02</w:t>
            </w:r>
          </w:p>
        </w:tc>
        <w:tc>
          <w:tcPr>
            <w:tcW w:w="992"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0,7</w:t>
            </w:r>
          </w:p>
        </w:tc>
        <w:tc>
          <w:tcPr>
            <w:tcW w:w="1128" w:type="dxa"/>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0,007</w:t>
            </w:r>
          </w:p>
        </w:tc>
        <w:tc>
          <w:tcPr>
            <w:tcW w:w="1432" w:type="dxa"/>
            <w:gridSpan w:val="2"/>
            <w:vAlign w:val="center"/>
          </w:tcPr>
          <w:p w:rsidR="00FB144B" w:rsidRPr="00F4566F" w:rsidRDefault="00FB144B" w:rsidP="00FB144B">
            <w:pPr>
              <w:spacing w:before="100" w:beforeAutospacing="1" w:after="100" w:afterAutospacing="1"/>
              <w:ind w:left="0"/>
              <w:jc w:val="center"/>
              <w:rPr>
                <w:rFonts w:ascii="Times New Roman" w:eastAsia="Times New Roman" w:hAnsi="Times New Roman" w:cs="Times New Roman"/>
                <w:color w:val="000000"/>
                <w:sz w:val="20"/>
                <w:szCs w:val="20"/>
                <w:lang w:eastAsia="ru-RU"/>
              </w:rPr>
            </w:pPr>
            <w:r w:rsidRPr="00F4566F">
              <w:rPr>
                <w:rFonts w:ascii="Times New Roman" w:eastAsia="Times New Roman" w:hAnsi="Times New Roman" w:cs="Times New Roman"/>
                <w:color w:val="000000"/>
                <w:sz w:val="20"/>
                <w:szCs w:val="20"/>
                <w:lang w:eastAsia="ru-RU"/>
              </w:rPr>
              <w:t>А, ГП-5, ГП-7, ПМК</w:t>
            </w:r>
          </w:p>
        </w:tc>
      </w:tr>
    </w:tbl>
    <w:p w:rsidR="002813B2" w:rsidRPr="002813B2" w:rsidRDefault="002813B2" w:rsidP="002813B2">
      <w:pPr>
        <w:spacing w:after="0" w:line="360" w:lineRule="auto"/>
        <w:ind w:left="0" w:firstLine="567"/>
        <w:rPr>
          <w:rFonts w:ascii="Times New Roman" w:hAnsi="Times New Roman" w:cs="Times New Roman"/>
          <w:sz w:val="16"/>
          <w:szCs w:val="16"/>
        </w:rPr>
      </w:pPr>
    </w:p>
    <w:p w:rsidR="009D6A93" w:rsidRPr="001532F8" w:rsidRDefault="009D6A93"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 xml:space="preserve">Основными средствами индивидуальной защиты населения от АХОВ ингаляционного действия являются гражданские противогазы ГП-5, ГП-7, ГП-7В, ГП-7ВМ, ГП-7ВС. Для детей используются </w:t>
      </w:r>
      <w:proofErr w:type="gramStart"/>
      <w:r w:rsidRPr="001532F8">
        <w:rPr>
          <w:rFonts w:ascii="Times New Roman" w:hAnsi="Times New Roman" w:cs="Times New Roman"/>
          <w:sz w:val="28"/>
          <w:szCs w:val="28"/>
        </w:rPr>
        <w:t>противогазы</w:t>
      </w:r>
      <w:proofErr w:type="gramEnd"/>
      <w:r w:rsidRPr="001532F8">
        <w:rPr>
          <w:rFonts w:ascii="Times New Roman" w:hAnsi="Times New Roman" w:cs="Times New Roman"/>
          <w:sz w:val="28"/>
          <w:szCs w:val="28"/>
        </w:rPr>
        <w:t xml:space="preserve"> фильтрующие ПДФ-Д, ПДФ-Ш, ПДФ-2Д, ПДФ-2Ш, а для младенцев — камеры з</w:t>
      </w:r>
      <w:r w:rsidR="00F3113C" w:rsidRPr="001532F8">
        <w:rPr>
          <w:rFonts w:ascii="Times New Roman" w:hAnsi="Times New Roman" w:cs="Times New Roman"/>
          <w:sz w:val="28"/>
          <w:szCs w:val="28"/>
        </w:rPr>
        <w:t>ащитные детские КЗД-4, КЗ</w:t>
      </w:r>
      <w:r w:rsidRPr="001532F8">
        <w:rPr>
          <w:rFonts w:ascii="Times New Roman" w:hAnsi="Times New Roman" w:cs="Times New Roman"/>
          <w:sz w:val="28"/>
          <w:szCs w:val="28"/>
        </w:rPr>
        <w:t xml:space="preserve">Д-6. Всем этим средствам присущ крупный недостаток — они не защищают от некоторых АХОВ (паров аммиака, оксидов азота, окисла этилена, бромистого и хлористого метила). </w:t>
      </w:r>
      <w:r w:rsidR="00935C6F" w:rsidRPr="001532F8">
        <w:rPr>
          <w:rFonts w:ascii="Times New Roman" w:hAnsi="Times New Roman" w:cs="Times New Roman"/>
          <w:sz w:val="28"/>
          <w:szCs w:val="28"/>
        </w:rPr>
        <w:t xml:space="preserve"> </w:t>
      </w:r>
      <w:r w:rsidRPr="001532F8">
        <w:rPr>
          <w:rFonts w:ascii="Times New Roman" w:hAnsi="Times New Roman" w:cs="Times New Roman"/>
          <w:sz w:val="28"/>
          <w:szCs w:val="28"/>
        </w:rPr>
        <w:t xml:space="preserve">Для </w:t>
      </w:r>
      <w:r w:rsidR="005A4C18" w:rsidRPr="001532F8">
        <w:rPr>
          <w:rFonts w:ascii="Times New Roman" w:hAnsi="Times New Roman" w:cs="Times New Roman"/>
          <w:sz w:val="28"/>
          <w:szCs w:val="28"/>
        </w:rPr>
        <w:t>защиты от</w:t>
      </w:r>
      <w:r w:rsidR="00935C6F" w:rsidRPr="001532F8">
        <w:rPr>
          <w:rFonts w:ascii="Times New Roman" w:hAnsi="Times New Roman" w:cs="Times New Roman"/>
          <w:sz w:val="28"/>
          <w:szCs w:val="28"/>
        </w:rPr>
        <w:t xml:space="preserve"> </w:t>
      </w:r>
      <w:r w:rsidRPr="001532F8">
        <w:rPr>
          <w:rFonts w:ascii="Times New Roman" w:hAnsi="Times New Roman" w:cs="Times New Roman"/>
          <w:sz w:val="28"/>
          <w:szCs w:val="28"/>
        </w:rPr>
        <w:t>этих веще</w:t>
      </w:r>
      <w:proofErr w:type="gramStart"/>
      <w:r w:rsidRPr="001532F8">
        <w:rPr>
          <w:rFonts w:ascii="Times New Roman" w:hAnsi="Times New Roman" w:cs="Times New Roman"/>
          <w:sz w:val="28"/>
          <w:szCs w:val="28"/>
        </w:rPr>
        <w:t>ств сл</w:t>
      </w:r>
      <w:proofErr w:type="gramEnd"/>
      <w:r w:rsidRPr="001532F8">
        <w:rPr>
          <w:rFonts w:ascii="Times New Roman" w:hAnsi="Times New Roman" w:cs="Times New Roman"/>
          <w:sz w:val="28"/>
          <w:szCs w:val="28"/>
        </w:rPr>
        <w:t xml:space="preserve">ужат дополнительные патроны к противогазам ДПГ - 1 и ДПГ-3, которые также защищают от окиси углерода. Однако камеры защитные детские не приспособлены для работы с дополнительными патронами, а защита малолетних детей примерно до 7 лет противогазами с дополнительными патронами затруднена из-за увеличения сопротивления дыханию. В настоящее время </w:t>
      </w:r>
      <w:r w:rsidR="004B00FE" w:rsidRPr="001532F8">
        <w:rPr>
          <w:rFonts w:ascii="Times New Roman" w:hAnsi="Times New Roman" w:cs="Times New Roman"/>
          <w:sz w:val="28"/>
          <w:szCs w:val="28"/>
        </w:rPr>
        <w:t xml:space="preserve">появились </w:t>
      </w:r>
      <w:r w:rsidR="004B00FE" w:rsidRPr="001532F8">
        <w:rPr>
          <w:rFonts w:ascii="Times New Roman" w:eastAsia="Times New Roman" w:hAnsi="Times New Roman" w:cs="Times New Roman"/>
          <w:color w:val="2B2B2B"/>
          <w:sz w:val="28"/>
          <w:szCs w:val="28"/>
          <w:lang w:eastAsia="ru-RU"/>
        </w:rPr>
        <w:t>гражданские противогазы</w:t>
      </w:r>
      <w:r w:rsidRPr="001532F8">
        <w:rPr>
          <w:rFonts w:ascii="Times New Roman" w:hAnsi="Times New Roman" w:cs="Times New Roman"/>
          <w:sz w:val="28"/>
          <w:szCs w:val="28"/>
        </w:rPr>
        <w:t xml:space="preserve"> нового поколения, которы</w:t>
      </w:r>
      <w:r w:rsidR="004B00FE" w:rsidRPr="001532F8">
        <w:rPr>
          <w:rFonts w:ascii="Times New Roman" w:hAnsi="Times New Roman" w:cs="Times New Roman"/>
          <w:sz w:val="28"/>
          <w:szCs w:val="28"/>
        </w:rPr>
        <w:t xml:space="preserve">е </w:t>
      </w:r>
      <w:r w:rsidRPr="001532F8">
        <w:rPr>
          <w:rFonts w:ascii="Times New Roman" w:hAnsi="Times New Roman" w:cs="Times New Roman"/>
          <w:sz w:val="28"/>
          <w:szCs w:val="28"/>
        </w:rPr>
        <w:t xml:space="preserve"> обеспечить защиту от всех возможных АХОВ</w:t>
      </w:r>
      <w:r w:rsidR="004B00FE" w:rsidRPr="001532F8">
        <w:rPr>
          <w:rFonts w:ascii="Times New Roman" w:hAnsi="Times New Roman" w:cs="Times New Roman"/>
          <w:sz w:val="28"/>
          <w:szCs w:val="28"/>
        </w:rPr>
        <w:t xml:space="preserve"> без дополнительных патронов (</w:t>
      </w:r>
      <w:r w:rsidR="004B00FE" w:rsidRPr="001532F8">
        <w:rPr>
          <w:rFonts w:ascii="Times New Roman" w:eastAsia="Times New Roman" w:hAnsi="Times New Roman" w:cs="Times New Roman"/>
          <w:bCs/>
          <w:color w:val="2B2B2B"/>
          <w:sz w:val="28"/>
          <w:szCs w:val="28"/>
          <w:lang w:eastAsia="ru-RU"/>
        </w:rPr>
        <w:t>ГП-7ВМБ, ГП-7ПМ</w:t>
      </w:r>
      <w:r w:rsidR="004B00FE" w:rsidRPr="001532F8">
        <w:rPr>
          <w:rFonts w:ascii="Times New Roman" w:hAnsi="Times New Roman" w:cs="Times New Roman"/>
          <w:sz w:val="28"/>
          <w:szCs w:val="28"/>
        </w:rPr>
        <w:t>)</w:t>
      </w:r>
      <w:r w:rsidRPr="001532F8">
        <w:rPr>
          <w:rFonts w:ascii="Times New Roman" w:hAnsi="Times New Roman" w:cs="Times New Roman"/>
          <w:sz w:val="28"/>
          <w:szCs w:val="28"/>
        </w:rPr>
        <w:t>.</w:t>
      </w:r>
    </w:p>
    <w:p w:rsidR="009D6A93" w:rsidRPr="001532F8" w:rsidRDefault="009D6A93"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 xml:space="preserve">Следует отметить, что существует серьезная проблема своевременности обеспечения населения средствами индивидуальной защиты органов дыхания в условиях химических аварий. Для защиты от АХОВ средства должны быть выданы населению в кратчайшие сроки. Однако из-за удаленности мест хранения, время их выдачи нередко составляет от 2-3 до 24 часов. За этот период население, попавшее в зону химического заражения, может получить поражения различной степени тяжести. При химических авариях важную роль в обеспечении защиты населения может сыграть своевременная эвакуация населения из возможных районов химического заражения. Эвакуация в этих случаях может выполняться в упреждающем и экстренном порядке. Упреждающая (заблаговременная) эвакуация осуществляется в случаях угрозы или в процессе длительных по времени крупномасштабных аварий, когда </w:t>
      </w:r>
      <w:r w:rsidRPr="001532F8">
        <w:rPr>
          <w:rFonts w:ascii="Times New Roman" w:hAnsi="Times New Roman" w:cs="Times New Roman"/>
          <w:sz w:val="28"/>
          <w:szCs w:val="28"/>
        </w:rPr>
        <w:lastRenderedPageBreak/>
        <w:t>прогнозируется угроза распространения зоны химического заражения. Экстренная (безотлагательная) эвакуация проводится в условиях быстротечных аварий с целью срочного освобождения от людей местности по направлению распространения облака АХОВ.</w:t>
      </w:r>
    </w:p>
    <w:p w:rsidR="009D6A93" w:rsidRPr="001532F8" w:rsidRDefault="009D6A93"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Процесс принятия решения об эвакуации в условиях химической аварии очень ответственен и оперативен. Он должен базироваться на точном знании быстро меняющейся обстановки, учета удаленности мест, из которых производится эвакуация, до места аварии, реальной оценки возможностей провести эвакуацию до подхода облака зараженного воздуха. Ошибочное или опоздавшее решение на эвакуацию может не улучшить, а усугубить обстановку, подвергнуть людей, покинувших помещение, служившее им укрытием, химическому воздействию.</w:t>
      </w:r>
    </w:p>
    <w:p w:rsidR="009D6A93" w:rsidRPr="001532F8" w:rsidRDefault="009D6A93"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Поэтому в условиях химической аварии в некоторых случаях более целесообразно использовать для защиты людей от первичного, а в течение непродолжительного времени и от вторичного облака зараженного воздуха жилые и производственные здания. При этом следует иметь в виду, что чем меньше воздухообмен в используемом для защиты помещении, тем выше его защитные свойства. Так, жилые и офисные помещения более защищены, чем помещения производственного назначения. В результате дополнительной герметизации оконных, дверных проемов, других элементов зданий защитные свойства помещений могут быть увеличены. На эффективности использования данного способа защиты существенно сказывается этажность постройки.</w:t>
      </w:r>
    </w:p>
    <w:p w:rsidR="009D6A93" w:rsidRPr="001532F8" w:rsidRDefault="009D6A93"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Эффективным способом химической защиты является укрытие персонала химически опасных объектов и населения в защитных сооружениях гражданской обороны, прежде всего в убежищах, обеспечивающих защиту органов дыхания от АХОВ. Особенно применим этот способ защиты к персоналу, поскольку значительная часть химически опасных объектов — до 70-80% имеют убежища различных классов, причем убежищами с тремя режимами вентиляции располагают до 30% из них.</w:t>
      </w:r>
    </w:p>
    <w:p w:rsidR="009D6A93" w:rsidRPr="001532F8" w:rsidRDefault="009D6A93"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По техническим характеристикам средств очистки и регенерации воздуха</w:t>
      </w:r>
      <w:r w:rsidR="001C4083" w:rsidRPr="001532F8">
        <w:rPr>
          <w:rFonts w:ascii="Times New Roman" w:hAnsi="Times New Roman" w:cs="Times New Roman"/>
          <w:sz w:val="28"/>
          <w:szCs w:val="28"/>
        </w:rPr>
        <w:t>,</w:t>
      </w:r>
      <w:r w:rsidRPr="001532F8">
        <w:rPr>
          <w:rFonts w:ascii="Times New Roman" w:hAnsi="Times New Roman" w:cs="Times New Roman"/>
          <w:sz w:val="28"/>
          <w:szCs w:val="28"/>
        </w:rPr>
        <w:t xml:space="preserve"> которыми оснащены убежища, а также допустимым параметрам воздушной </w:t>
      </w:r>
      <w:r w:rsidRPr="001532F8">
        <w:rPr>
          <w:rFonts w:ascii="Times New Roman" w:hAnsi="Times New Roman" w:cs="Times New Roman"/>
          <w:sz w:val="28"/>
          <w:szCs w:val="28"/>
        </w:rPr>
        <w:lastRenderedPageBreak/>
        <w:t>среды в их помещениях, в условиях химических аварий может быть обеспечена надежная защита укрываемых:</w:t>
      </w:r>
    </w:p>
    <w:p w:rsidR="009D6A93" w:rsidRPr="001532F8" w:rsidRDefault="009D6A93"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 в режиме полной изоляции (регенерации внутреннего воздуха) для все</w:t>
      </w:r>
      <w:r w:rsidR="00935C6F" w:rsidRPr="001532F8">
        <w:rPr>
          <w:rFonts w:ascii="Times New Roman" w:hAnsi="Times New Roman" w:cs="Times New Roman"/>
          <w:sz w:val="28"/>
          <w:szCs w:val="28"/>
        </w:rPr>
        <w:t>х</w:t>
      </w:r>
      <w:r w:rsidRPr="001532F8">
        <w:rPr>
          <w:rFonts w:ascii="Times New Roman" w:hAnsi="Times New Roman" w:cs="Times New Roman"/>
          <w:sz w:val="28"/>
          <w:szCs w:val="28"/>
        </w:rPr>
        <w:t xml:space="preserve"> видов АХОВ в любых концентрациях — на время до 6 часов;</w:t>
      </w:r>
    </w:p>
    <w:p w:rsidR="009D6A93" w:rsidRPr="001532F8" w:rsidRDefault="009D6A93"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 xml:space="preserve">- в режиме </w:t>
      </w:r>
      <w:proofErr w:type="spellStart"/>
      <w:r w:rsidRPr="001532F8">
        <w:rPr>
          <w:rFonts w:ascii="Times New Roman" w:hAnsi="Times New Roman" w:cs="Times New Roman"/>
          <w:sz w:val="28"/>
          <w:szCs w:val="28"/>
        </w:rPr>
        <w:t>фильтровентиляции</w:t>
      </w:r>
      <w:proofErr w:type="spellEnd"/>
      <w:r w:rsidRPr="001532F8">
        <w:rPr>
          <w:rFonts w:ascii="Times New Roman" w:hAnsi="Times New Roman" w:cs="Times New Roman"/>
          <w:sz w:val="28"/>
          <w:szCs w:val="28"/>
        </w:rPr>
        <w:t xml:space="preserve"> при концентрациях АХОВ ниже 0,1 мг/ м3 — на время 4—5 часов.</w:t>
      </w:r>
    </w:p>
    <w:p w:rsidR="009D6A93" w:rsidRPr="001532F8" w:rsidRDefault="009D6A93"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По истечении этих сроков укрываемые должны быть выведены из убежищ, при необходимости — в индивидуальных средствах защиты.</w:t>
      </w:r>
    </w:p>
    <w:p w:rsidR="009D6A93" w:rsidRPr="001532F8" w:rsidRDefault="009D6A93"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Узким местом, осложняющим применение убежищ при химических авариях, является состояние их оборудования для очистки воздуха. Вследствие кризисных явлений в экономике производство этого вида оборудования прекращено или объемы его производства снижены, а между тем срок годности регенеративных патронов для регенерации воздуха и фильтров-поглотителей для фильтровентиляционных установок убежищ в большинстве случаев истек или близок к этому.</w:t>
      </w:r>
    </w:p>
    <w:p w:rsidR="009D6A93" w:rsidRPr="001532F8" w:rsidRDefault="004B00FE"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 xml:space="preserve">* </w:t>
      </w:r>
      <w:r w:rsidR="009D6A93" w:rsidRPr="001532F8">
        <w:rPr>
          <w:rFonts w:ascii="Times New Roman" w:hAnsi="Times New Roman" w:cs="Times New Roman"/>
          <w:sz w:val="28"/>
          <w:szCs w:val="28"/>
        </w:rPr>
        <w:t>ПДК рабочей зоны - предельно допустимая концентрация химического вещества в воздухе рабочей зоны, мг/ м3 . Эта концентрация при ежедневной работе в течение всего рабочего стажа не должна вызывать заболевания или отклонения в состоянии здоровья.</w:t>
      </w:r>
    </w:p>
    <w:p w:rsidR="009D6A93" w:rsidRPr="001532F8" w:rsidRDefault="009D6A93" w:rsidP="002813B2">
      <w:pPr>
        <w:spacing w:after="0" w:line="360" w:lineRule="auto"/>
        <w:ind w:left="0" w:firstLine="567"/>
        <w:rPr>
          <w:rFonts w:ascii="Times New Roman" w:hAnsi="Times New Roman" w:cs="Times New Roman"/>
          <w:sz w:val="28"/>
          <w:szCs w:val="28"/>
        </w:rPr>
      </w:pPr>
      <w:r w:rsidRPr="001532F8">
        <w:rPr>
          <w:rFonts w:ascii="Times New Roman" w:hAnsi="Times New Roman" w:cs="Times New Roman"/>
          <w:sz w:val="28"/>
          <w:szCs w:val="28"/>
        </w:rPr>
        <w:t>ПДК населенных пунктов – предельно допустимая среднесуточная концентрация химического вещества в воздухе населенных пунктов, мг/ м3 . Эта концентрация не должна оказывать на человека прямого или косвенного вредного воздействия при неопределенно долгом вдыхании.</w:t>
      </w:r>
    </w:p>
    <w:p w:rsidR="009D6A93" w:rsidRPr="00C04324" w:rsidRDefault="009D6A93" w:rsidP="002813B2">
      <w:pPr>
        <w:spacing w:after="0" w:line="360" w:lineRule="auto"/>
        <w:ind w:left="0" w:firstLine="567"/>
        <w:rPr>
          <w:rFonts w:ascii="Times New Roman" w:hAnsi="Times New Roman" w:cs="Times New Roman"/>
          <w:sz w:val="26"/>
          <w:szCs w:val="26"/>
        </w:rPr>
      </w:pPr>
    </w:p>
    <w:sectPr w:rsidR="009D6A93" w:rsidRPr="00C04324" w:rsidSect="00935C6F">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A3AD4"/>
    <w:multiLevelType w:val="multilevel"/>
    <w:tmpl w:val="4CF4C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6377B"/>
    <w:rsid w:val="00002D21"/>
    <w:rsid w:val="00084222"/>
    <w:rsid w:val="000F7866"/>
    <w:rsid w:val="00123A58"/>
    <w:rsid w:val="001532F8"/>
    <w:rsid w:val="0016377B"/>
    <w:rsid w:val="001C4083"/>
    <w:rsid w:val="001E5CBB"/>
    <w:rsid w:val="00230EB5"/>
    <w:rsid w:val="00260455"/>
    <w:rsid w:val="002813B2"/>
    <w:rsid w:val="0032755F"/>
    <w:rsid w:val="00495469"/>
    <w:rsid w:val="004B00FE"/>
    <w:rsid w:val="004C0F64"/>
    <w:rsid w:val="004D4D39"/>
    <w:rsid w:val="005449D2"/>
    <w:rsid w:val="005A4C18"/>
    <w:rsid w:val="005A70BA"/>
    <w:rsid w:val="005C0470"/>
    <w:rsid w:val="00720C11"/>
    <w:rsid w:val="00757E39"/>
    <w:rsid w:val="007A6C5F"/>
    <w:rsid w:val="0080099F"/>
    <w:rsid w:val="008819BE"/>
    <w:rsid w:val="00935C6F"/>
    <w:rsid w:val="00971DC8"/>
    <w:rsid w:val="009D6A93"/>
    <w:rsid w:val="00A1793E"/>
    <w:rsid w:val="00A21437"/>
    <w:rsid w:val="00A4312D"/>
    <w:rsid w:val="00A51CB8"/>
    <w:rsid w:val="00B03374"/>
    <w:rsid w:val="00B50349"/>
    <w:rsid w:val="00BB41C4"/>
    <w:rsid w:val="00C04324"/>
    <w:rsid w:val="00C622EE"/>
    <w:rsid w:val="00CC0055"/>
    <w:rsid w:val="00CE5B5F"/>
    <w:rsid w:val="00E54ED0"/>
    <w:rsid w:val="00EB6355"/>
    <w:rsid w:val="00ED6857"/>
    <w:rsid w:val="00F23469"/>
    <w:rsid w:val="00F3113C"/>
    <w:rsid w:val="00F834B5"/>
    <w:rsid w:val="00FB1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7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44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FB144B"/>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11">
    <w:name w:val="çàãîëîâîê 11"/>
    <w:basedOn w:val="a"/>
    <w:next w:val="a"/>
    <w:rsid w:val="00FB144B"/>
    <w:pPr>
      <w:keepNext/>
      <w:spacing w:before="240" w:after="120"/>
      <w:ind w:left="0"/>
      <w:jc w:val="center"/>
    </w:pPr>
    <w:rPr>
      <w:rFonts w:ascii="Arial" w:eastAsia="Times New Roman" w:hAnsi="Arial" w:cs="Times New Roman"/>
      <w:b/>
      <w:kern w:val="28"/>
      <w:sz w:val="28"/>
      <w:szCs w:val="20"/>
      <w:lang w:eastAsia="ru-RU"/>
    </w:rPr>
  </w:style>
  <w:style w:type="paragraph" w:styleId="a5">
    <w:name w:val="List Paragraph"/>
    <w:basedOn w:val="a"/>
    <w:uiPriority w:val="34"/>
    <w:qFormat/>
    <w:rsid w:val="004B00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1983</Words>
  <Characters>11305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MCHS</Company>
  <LinksUpToDate>false</LinksUpToDate>
  <CharactersWithSpaces>13262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Emercom</dc:creator>
  <cp:lastModifiedBy>User01</cp:lastModifiedBy>
  <cp:revision>8</cp:revision>
  <cp:lastPrinted>2020-06-13T01:05:00Z</cp:lastPrinted>
  <dcterms:created xsi:type="dcterms:W3CDTF">2020-06-02T03:57:00Z</dcterms:created>
  <dcterms:modified xsi:type="dcterms:W3CDTF">2020-12-01T00:45:00Z</dcterms:modified>
</cp:coreProperties>
</file>