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_____Microsoft_Office_Excel2.xlsx" ContentType="application/vnd.openxmlformats-officedocument.spreadsheetml.sheet"/>
  <Override PartName="/word/embeddings/_____Microsoft_Office_Excel1.xlsx" ContentType="application/vnd.openxmlformats-officedocument.spreadsheetml.sheet"/>
  <Override PartName="/word/embeddings/_____Microsoft_Office_Excel4.xlsx" ContentType="application/vnd.openxmlformats-officedocument.spreadsheetml.sheet"/>
  <Override PartName="/word/embeddings/_____Microsoft_Office_Excel5.xlsx" ContentType="application/vnd.openxmlformats-officedocument.spreadsheetml.sheet"/>
  <Override PartName="/word/embeddings/_____Microsoft_Office_Excel3.xlsx" ContentType="application/vnd.openxmlformats-officedocument.spreadsheetml.sheet"/>
  <Override PartName="/word/embeddings/_____Microsoft_Office_Excel6.xlsx" ContentType="application/vnd.openxmlformats-officedocument.spreadsheetml.shee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1.wmf" ContentType="image/x-wmf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charts/_rels/chart6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firstLine="709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Toc478730245"/>
      <w:bookmarkStart w:id="1" w:name="_Toc478717228"/>
      <w:bookmarkStart w:id="2" w:name="_Toc504404850"/>
      <w:bookmarkStart w:id="3" w:name="_Toc487534947"/>
      <w:bookmarkStart w:id="4" w:name="_Toc487533767"/>
      <w:bookmarkStart w:id="5" w:name="_Toc487533417"/>
      <w:bookmarkStart w:id="6" w:name="_Toc478720908"/>
      <w:bookmarkStart w:id="7" w:name="_Toc478717229"/>
      <w:bookmarkEnd w:id="0"/>
      <w:bookmarkEnd w:id="1"/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Доклад</w:t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left="2268" w:hanging="2268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«О результатах правоприменительной практики при осуществлении </w:t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left="2268" w:hanging="2268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федерального государственного пожарного надзора в 2021 году»</w:t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firstLine="709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 w:before="0" w:after="0"/>
        <w:ind w:firstLine="709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Доклад </w:t>
      </w:r>
      <w:r>
        <w:rPr>
          <w:rFonts w:cs="Times New Roman" w:ascii="Times New Roman" w:hAnsi="Times New Roman"/>
          <w:bCs/>
          <w:spacing w:val="-4"/>
          <w:sz w:val="28"/>
          <w:szCs w:val="28"/>
        </w:rPr>
        <w:t xml:space="preserve">об осуществлении государственного контроля (надзора) в сфере </w:t>
      </w:r>
      <w:r>
        <w:rPr>
          <w:rFonts w:cs="Times New Roman" w:ascii="Times New Roman" w:hAnsi="Times New Roman"/>
          <w:sz w:val="28"/>
          <w:szCs w:val="28"/>
        </w:rPr>
        <w:t>деятельности Главного управления МЧС России по Республике Саха (Якутия)</w:t>
      </w:r>
      <w:r>
        <w:rPr>
          <w:rFonts w:cs="Times New Roman" w:ascii="Times New Roman" w:hAnsi="Times New Roman"/>
          <w:bCs/>
          <w:spacing w:val="-4"/>
          <w:sz w:val="28"/>
          <w:szCs w:val="28"/>
        </w:rPr>
        <w:t xml:space="preserve">, подготовлен во исполнение постановления </w:t>
      </w:r>
      <w:r>
        <w:rPr>
          <w:rFonts w:cs="Times New Roman" w:ascii="Times New Roman" w:hAnsi="Times New Roman"/>
          <w:sz w:val="28"/>
          <w:szCs w:val="28"/>
        </w:rPr>
        <w:t>Правительства Российской Федерации от 5 апреля 2010 г. № 215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>
        <w:rPr>
          <w:rFonts w:cs="Times New Roman" w:ascii="Times New Roman" w:hAnsi="Times New Roman"/>
          <w:sz w:val="28"/>
          <w:szCs w:val="28"/>
        </w:rPr>
        <w:t>» (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 изменениями на 31 октября 2019 года).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подготовке Доклада использовались: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данные, содержащиеся в форме федерального статистического наблюдения №1-контроль, утвержденной приказом Росстата о</w:t>
      </w:r>
      <w:r>
        <w:rPr>
          <w:rFonts w:cs="Times New Roman" w:ascii="Times New Roman" w:hAnsi="Times New Roman"/>
          <w:bCs/>
          <w:sz w:val="28"/>
          <w:szCs w:val="28"/>
        </w:rPr>
        <w:t>т 21 декабря 2011 г. № 503;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данные ведомственной статистической отчетности о результатах осуществления государственного надзора в сфере деятельности МЧС России;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анализа нормативных правовых актов Российской Федерации, устанавливающих обязательные требования к осуществлению деятельности юридических лиц и индивидуальных предпринимателей;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анализа нормативных правовых актов Российской Федерации и нормативных документов МЧС России, регламентирующих организацию и осуществление государственного надзора в сфере деятельности МЧС России.</w:t>
      </w:r>
    </w:p>
    <w:p>
      <w:pPr>
        <w:pStyle w:val="2"/>
        <w:shd w:val="clear" w:color="auto" w:fill="FFFFFF"/>
        <w:spacing w:lineRule="auto" w:line="276" w:before="0" w:after="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Сведения, содержащиеся в Докладе, являются открытыми, общедоступными и размещены на официальном сайте МЧС России </w:t>
      </w:r>
      <w:hyperlink r:id="rId2" w:tgtFrame="_blank">
        <w:r>
          <w:rPr>
            <w:rFonts w:ascii="Times New Roman" w:hAnsi="Times New Roman"/>
            <w:b w:val="false"/>
            <w:bCs w:val="false"/>
            <w:color w:val="auto"/>
            <w:sz w:val="28"/>
            <w:szCs w:val="28"/>
          </w:rPr>
          <w:t>14.mchs.gov.ru</w:t>
        </w:r>
      </w:hyperlink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 Наименования и реквизиты нормативных правовых актов, регламентирующих порядок осуществления государственного пожарного надзора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Конституция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Гражданский Кодекс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Арбитражный процессуальный кодекс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Градостроительный кодекс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Уголовный кодекс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Уголовно-процессуальный кодекс Российской Федерации.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Кодекс Российской Федерации об административных правонарушениях (далее – КоАП РФ).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709" w:leader="none"/>
          <w:tab w:val="left" w:pos="1260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31.07.2020 г. № 248 –ФЗ «О государственном контроле (надзоре) и муниципальном контроле в Российской Федерации». (вступил в силу  01.07.2021г.).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27 декабря 2002 г. № 184-ФЗ «О техническом регулировании».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(С изменениями на 2 июля 2021 года).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22 июля 2008 г. № 123-ФЗ «Технический регламент о требованиях пожарной безопасности».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(С изменениями на 30 апреля 2021 года).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Федерации».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(С изменениями на 27 декабря 2018 года).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изменениями на 11 июня 2021 г.).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6 октября 2003 г. № 131-ФЗ «Об общих принципах организации органов местного самоуправления в Российской Федерации». (</w:t>
      </w:r>
      <w:hyperlink r:id="rId3">
        <w:r>
          <w:rPr>
            <w:rFonts w:ascii="Times New Roman" w:hAnsi="Times New Roman"/>
            <w:color w:val="000000"/>
            <w:sz w:val="28"/>
            <w:szCs w:val="28"/>
            <w:highlight w:val="white"/>
            <w:u w:val="none"/>
          </w:rPr>
          <w:t>Федеральным законом от 30 апреля 2021 года N 116-ФЗ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 (Официальный интернет-портал правовой информации www.pravo.gov.ru, 30.04.2021, N 0001202104300090) (вступил в силу с 1 июля 2021 года);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21 декабря 1994 г. № 69-ФЗ «О пожарной безопасности». (С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изменениями на 11.06.2021 г.).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285" w:leader="none"/>
          <w:tab w:val="left" w:pos="1134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23 июня 2016 г. № 182-ФЗ «Об основах системы профилактики правонарушений в Российской Федерации».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Решение Комиссии Таможенного союза от 16 августа 2011 г. № 770 «О принятии технического регламента Таможенного союза «О безопасности пиротехнических изделий».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(С изменениями на 25 декабря 2018 года).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26 мая 2018 г. № 602 «Об аттестации должностных лиц, осуществляющих деятельность в области оценки пожарного риска».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Постановление Правительства Российской Федерации от 28 марта 2012 г. № 250 «О компетентном органе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пиротехнических изделий».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 (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Утратило силу с 15 декабря 2021 года на основании </w:t>
      </w:r>
      <w:r>
        <w:fldChar w:fldCharType="begin"/>
      </w:r>
      <w:r>
        <w:rPr>
          <w:sz w:val="28"/>
          <w:u w:val="none"/>
          <w:highlight w:val="white"/>
          <w:szCs w:val="28"/>
          <w:rFonts w:ascii="Times New Roman" w:hAnsi="Times New Roman"/>
          <w:color w:val="000000"/>
        </w:rPr>
        <w:instrText> HYPERLINK "https://docs.cntd.ru/document/727568611" \l "6580IP"</w:instrText>
      </w:r>
      <w:r>
        <w:rPr>
          <w:sz w:val="28"/>
          <w:u w:val="none"/>
          <w:highlight w:val="white"/>
          <w:szCs w:val="28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8"/>
          <w:szCs w:val="28"/>
          <w:highlight w:val="white"/>
          <w:u w:val="none"/>
        </w:rPr>
        <w:t>постановления Правительства РФ от 11 декабря 2021 года N 2265</w:t>
      </w:r>
      <w:r>
        <w:rPr>
          <w:sz w:val="28"/>
          <w:u w:val="none"/>
          <w:highlight w:val="white"/>
          <w:szCs w:val="28"/>
          <w:rFonts w:ascii="Times New Roman" w:hAnsi="Times New Roman"/>
          <w:color w:val="000000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  от 17 августа 2016 г. № 806 «О применении риск-ориентированного подхода при организации отдельных видов государственного контроля (надзора)  и внесении изменений в некоторые акты Правительства Российской Федерации»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(с изменениями на 6 октября 2021 года).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Правительства Российской Федерации от </w:t>
        <w:br/>
        <w:t xml:space="preserve">апреля 2012 г. № 290 «О федеральном государственном пожарном надзоре». (С изменениями 01.07.2021 г. </w:t>
      </w:r>
      <w:hyperlink r:id="rId4">
        <w:r>
          <w:rPr>
            <w:rFonts w:ascii="Times New Roman" w:hAnsi="Times New Roman"/>
            <w:color w:val="000000"/>
            <w:sz w:val="28"/>
            <w:szCs w:val="28"/>
            <w:highlight w:val="white"/>
            <w:u w:val="none"/>
          </w:rPr>
          <w:t>постановлением Правительства Российской Федерации от 25 июня 2021 года N 1016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 от 28 апреля 2015 г. № 415 «О Правилах формирования и ведения единого реестра проверок».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(С изменениями на 15 июля 2021 года).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18 апреля 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 (утратил силу с 01.07.2021).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    от 10 февраля 2017 г. № 166 «Об утверждении Правил составления 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r>
        <w:rPr>
          <w:rFonts w:cs="Times New Roman" w:ascii="Times New Roman" w:hAnsi="Times New Roman"/>
          <w:color w:val="444444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(С изменениями на 21 марта 2019 года).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МЧС России от 30 ноября 2016 г. № 644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 (Утратил силу с 01.07.2021г.).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60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МЧС России от 21 ноября 2008 г. № 714 «Об утверждении Порядка учета пожаров и их последствий» (зарегистрирован в Министерстве юстиции Российской Федерации 12 декабря 2008 г., регистрационный № 12842).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Приказ МЧС России от 24 декабря 2018 г. № 625 «О формировании электронных баз данных учета пожаров и их последствий».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МЧС России от 28 июня 2018 г. № 261 «Об утверждении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безопасности» (утратил силу с 30.04.2021г.).</w:t>
      </w:r>
    </w:p>
    <w:p>
      <w:pPr>
        <w:pStyle w:val="Normal"/>
        <w:spacing w:lineRule="auto" w:line="276" w:before="0" w:after="0"/>
        <w:ind w:left="7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left="709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2.Сведения об организационной структуре и системе управления органов государственного пожарного надзора</w:t>
      </w:r>
    </w:p>
    <w:p>
      <w:pPr>
        <w:pStyle w:val="Normal"/>
        <w:spacing w:lineRule="auto" w:line="276" w:before="0" w:after="0"/>
        <w:ind w:left="709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bookmarkStart w:id="8" w:name="_Toc318373046"/>
      <w:r>
        <w:rPr/>
        <w:t>В соответствии с Федеральным законом от 21 декабря 1994 г. № 69-ФЗ «О пожарной безопасности» федеральный государственный пожарный надзор -</w:t>
      </w:r>
      <w:bookmarkEnd w:id="8"/>
      <w:r>
        <w:rPr/>
        <w:t xml:space="preserve"> деятельность уполномоченных федеральных органов исполнительной власти, органов исполнительной власти субъектов Российской Федерации, осуществляющих переданные полномочия, а также подведомственных им государственных учреждений, направленная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 (далее - обязательные требования), посредством организации и проведения проверок деятельности организаций и граждан, состояния используемых (эксплуатируемых) ими объектов защиты, территорий, земельных участков, продаваемой пожарно-технической продукции, проведения мероприятий по контролю на лесных участках, на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принятия предусмотренных законодательством Российской Федерации мер по пресечению и (или) устранению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безопасности, анализу и прогнозированию состояния исполнения указанных требований при осуществлении организациями и гражданами своей деятельности.</w:t>
      </w:r>
      <w:bookmarkStart w:id="9" w:name="_Toc318373047"/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>Федеральный государственный пожарный надзор, за исключением федерального государственного пожарного надзора, осуществляемого на объектах обороны и на иных объектах специального назначения, на которых осуществляют деятельность федеральные органы исполнительной власти в сфере обороны,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а также в лесах,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</w:t>
      </w:r>
      <w:bookmarkStart w:id="10" w:name="_Toc318373048"/>
      <w:bookmarkEnd w:id="9"/>
      <w:r>
        <w:rPr/>
        <w:t xml:space="preserve"> федеральной противопожарной службы Государственной противопожарной службы.</w:t>
      </w:r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 xml:space="preserve">В соответствии с положениями постановления Правительства от </w:t>
        <w:br/>
        <w:t>12 апреля 2012 г. № 290 «О федеральном государственном пожарном надзоре» органами государственного пожарного надзора являются:</w:t>
      </w:r>
      <w:bookmarkStart w:id="11" w:name="_Toc318373049"/>
      <w:bookmarkEnd w:id="10"/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>структурное подразделение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 (Департамент надзорной деятельности и профилактической работы), в сферу ведения которого входят вопросы организации и осуществления федерального государственного пожарного надзора;</w:t>
      </w:r>
      <w:bookmarkStart w:id="12" w:name="_Toc318373051"/>
      <w:bookmarkEnd w:id="11"/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>территориальные органы МЧС России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в лице их руководителей и структурных подразделений, в сферу ведения которых входят вопросы организации и осуществления федерального государственного пожарного надзора, и их территориальные отделы (отделения, инспекции)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16.1 Федерального закона «О пожарной безопасности»;</w:t>
      </w:r>
      <w:bookmarkEnd w:id="12"/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>объектовые, специальные и воинские подразделения федеральной противопожарной службы в лице их руководителей и структурных подразделений, в сферу деятельности которых входят вопросы организации и осуществления федерального государственного пожарного надзора;</w:t>
      </w:r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>территориальные подразделения федеральной противопожарной службы в лице их руководителей и структурных подразделений, в сферу деятельности которых входят вопросы организации и осуществления федерального государственного пожарного надзора.</w:t>
      </w:r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  <w:t>Федеральный государственный пожарный надзор осуществляется органами государственного пожарного надзора с применением риск-ориентированного подхода.</w:t>
      </w:r>
    </w:p>
    <w:p>
      <w:pPr>
        <w:pStyle w:val="ConsPlusNormal"/>
        <w:numPr>
          <w:ilvl w:val="0"/>
          <w:numId w:val="0"/>
        </w:numPr>
        <w:spacing w:lineRule="auto" w:line="276"/>
        <w:ind w:left="142" w:firstLine="708"/>
        <w:jc w:val="both"/>
        <w:outlineLvl w:val="1"/>
        <w:rPr/>
      </w:pPr>
      <w:r>
        <w:rPr/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  Перечень и описание основных и вспомогательных (обеспечительных) функций государственного пожарного надзора.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Положением о федеральном государственном пожарном надзоре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 от 12 апреля 2012 года N 290</w:t>
      </w:r>
      <w:r>
        <w:rPr>
          <w:rFonts w:cs="Times New Roman" w:ascii="Times New Roman" w:hAnsi="Times New Roman"/>
          <w:sz w:val="28"/>
          <w:szCs w:val="28"/>
        </w:rPr>
        <w:t>, утвержденным Правительством Российской Федерации, определен перечень должностных лиц органов государственного пожарного надзора (государственных инспекторов), их прав и обязанностей по осуществлению федерального государственного пожарного надзора.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Должностные лица органов ГПН, при исполнении государственной функции, имеют право: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проводить контрольные (надзорные) мероприятия;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беспрепятственно по предъявлению служебного удостоверения и заверенной в установленном порядке копии распоряжения (решения) руководителя (заместителя руководителя) органа государственного пожарного надзора о проведении контрольного (надзорного) мероприятия посещать (осматривать) объекты надзора. 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органа государственного пожарного надзора о проведении контрольного (надзорного) мероприятия;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совершать соответствующие контрольные (надзорные) действия при проведении контрольных (надзорных) мероприятий;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привлекать к проведению контрольных (надзорных) мероприятий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 запрашивать, получать и знакомиться со всеми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требований пожарной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е) составлять акты по фактам непредставления или несвоевременного представления документов и материалов, запрошенных при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контрольного (надзорного) мероприятия;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ж) обращаться в соответствии с </w:t>
      </w:r>
      <w:hyperlink r:id="rId5">
        <w:r>
          <w:rPr>
            <w:color w:val="auto"/>
            <w:sz w:val="28"/>
            <w:szCs w:val="28"/>
            <w:u w:val="none"/>
          </w:rPr>
          <w:t>Федеральным законом "О полиции"</w:t>
        </w:r>
      </w:hyperlink>
      <w:r>
        <w:rPr>
          <w:sz w:val="28"/>
          <w:szCs w:val="28"/>
        </w:rPr>
        <w:t> за содействием к органам полиции в случаях, если инспектору оказывается противодействие или угрожает опасность;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з) принимать решения при проведении и по результатам контрольных (надзорных) мероприятий;</w:t>
        <w:br/>
        <w:t xml:space="preserve">       и) рассматривать вопросы, связанные с исполнением решений при проведении и по результатам проведенных контрольных (надзорных) мероприятий;</w:t>
      </w:r>
    </w:p>
    <w:p>
      <w:pPr>
        <w:pStyle w:val="Formattext"/>
        <w:shd w:val="clear" w:color="auto" w:fill="FFFFFF"/>
        <w:spacing w:lineRule="auto" w:line="276" w:beforeAutospacing="0" w:before="0" w:afterAutospacing="0" w:after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к) осуществлять профилактические мероприятия в форме информирования, объявления предостережения, консультирования, профилактического визита.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0"/>
        <w:ind w:firstLine="482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Должностными лицами государственного пожарного надзора проводятся следующие виды плановых контрольных (надзорных) мероприятий:</w:t>
      </w:r>
    </w:p>
    <w:p>
      <w:pPr>
        <w:pStyle w:val="Normal"/>
        <w:shd w:val="clear" w:color="auto" w:fill="FFFFFF"/>
        <w:spacing w:lineRule="auto" w:line="276" w:before="0" w:after="0"/>
        <w:ind w:firstLine="482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инспекционный визит;</w:t>
      </w:r>
    </w:p>
    <w:p>
      <w:pPr>
        <w:pStyle w:val="Normal"/>
        <w:shd w:val="clear" w:color="auto" w:fill="FFFFFF"/>
        <w:spacing w:lineRule="auto" w:line="276" w:before="0" w:after="0"/>
        <w:ind w:firstLine="482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рейдовый осмотр;</w:t>
      </w:r>
    </w:p>
    <w:p>
      <w:pPr>
        <w:pStyle w:val="Normal"/>
        <w:shd w:val="clear" w:color="auto" w:fill="FFFFFF"/>
        <w:spacing w:lineRule="auto" w:line="276" w:before="0" w:after="0"/>
        <w:ind w:firstLine="482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выездная проверка.</w:t>
      </w:r>
    </w:p>
    <w:p>
      <w:pPr>
        <w:pStyle w:val="Normal"/>
        <w:shd w:val="clear" w:color="auto" w:fill="FFFFFF"/>
        <w:spacing w:lineRule="auto" w:line="276" w:before="0" w:after="0"/>
        <w:ind w:firstLine="48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Должностными лицами государственного пожарного надзора проводятся следующие виды внеплановых контрольных (надзорных) мероприятий:</w:t>
      </w:r>
    </w:p>
    <w:p>
      <w:pPr>
        <w:pStyle w:val="Normal"/>
        <w:shd w:val="clear" w:color="auto" w:fill="FFFFFF"/>
        <w:spacing w:lineRule="auto" w:line="276" w:before="0" w:after="0"/>
        <w:ind w:firstLine="4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инспекционный визит;</w:t>
      </w:r>
    </w:p>
    <w:p>
      <w:pPr>
        <w:pStyle w:val="Normal"/>
        <w:shd w:val="clear" w:color="auto" w:fill="FFFFFF"/>
        <w:spacing w:lineRule="auto" w:line="276" w:before="0" w:after="0"/>
        <w:ind w:firstLine="4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рейдовый осмотр;</w:t>
      </w:r>
    </w:p>
    <w:p>
      <w:pPr>
        <w:pStyle w:val="Normal"/>
        <w:shd w:val="clear" w:color="auto" w:fill="FFFFFF"/>
        <w:spacing w:lineRule="auto" w:line="276" w:before="0" w:after="0"/>
        <w:ind w:firstLine="4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выездная проверка;</w:t>
      </w:r>
    </w:p>
    <w:p>
      <w:pPr>
        <w:pStyle w:val="Normal"/>
        <w:shd w:val="clear" w:color="auto" w:fill="FFFFFF"/>
        <w:spacing w:lineRule="auto" w:line="276" w:before="0" w:after="0"/>
        <w:ind w:firstLine="4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документарная проверка;</w:t>
      </w:r>
    </w:p>
    <w:p>
      <w:pPr>
        <w:pStyle w:val="Normal"/>
        <w:shd w:val="clear" w:color="auto" w:fill="FFFFFF"/>
        <w:spacing w:lineRule="auto" w:line="276" w:before="0" w:after="0"/>
        <w:ind w:firstLine="48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выборочный контроль.</w:t>
        <w:br/>
      </w:r>
    </w:p>
    <w:p>
      <w:pPr>
        <w:pStyle w:val="ConsPlusNormal"/>
        <w:spacing w:lineRule="auto" w:line="31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spacing w:lineRule="auto" w:line="312"/>
        <w:ind w:firstLine="709"/>
        <w:jc w:val="both"/>
        <w:rPr>
          <w:b/>
          <w:b/>
          <w:szCs w:val="26"/>
        </w:rPr>
      </w:pPr>
      <w:bookmarkStart w:id="13" w:name="_Toc504404850"/>
      <w:bookmarkStart w:id="14" w:name="_Toc487534947"/>
      <w:bookmarkStart w:id="15" w:name="_Toc487533767"/>
      <w:bookmarkStart w:id="16" w:name="_Toc487533417"/>
      <w:bookmarkStart w:id="17" w:name="_Toc478720908"/>
      <w:bookmarkStart w:id="18" w:name="_Toc478717229"/>
      <w:r>
        <w:rPr>
          <w:b/>
          <w:sz w:val="26"/>
          <w:szCs w:val="26"/>
        </w:rPr>
        <w:t>4. Обстановка с пожарами и их последствиями на территории Республики Саха (Якутия).</w:t>
      </w:r>
      <w:bookmarkEnd w:id="13"/>
      <w:bookmarkEnd w:id="14"/>
      <w:bookmarkEnd w:id="15"/>
      <w:bookmarkEnd w:id="16"/>
      <w:bookmarkEnd w:id="17"/>
      <w:bookmarkEnd w:id="18"/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итогам 2021 года на территории республики зарегистрировано 2326  пожаров (АППГ – 2709 снижение на 14,1%) с материальным ущербом 101048,6 тыс. рублей (АППГ – 107279,9 тыс. рублей, снижение на 5,8%). </w:t>
      </w:r>
      <w:r>
        <w:rPr>
          <w:rFonts w:ascii="Times New Roman" w:hAnsi="Times New Roman"/>
          <w:sz w:val="28"/>
          <w:szCs w:val="28"/>
          <w:lang w:val="ru-RU"/>
        </w:rPr>
        <w:t>При пожарах погибло 89 человек (АППГ – 65, рост на 36,9%), том числе 16 детей (АППГ-10, рост на 60,0%). Травмировано 76 человек  (АППГ –56, рост на 35,7%).</w:t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28"/>
        <w:spacing w:lineRule="auto" w:line="276"/>
        <w:ind w:left="283" w:firstLine="709"/>
        <w:jc w:val="center"/>
        <w:rPr>
          <w:rFonts w:ascii="Times New Roman" w:hAnsi="Times New Roman"/>
          <w:b/>
          <w:b/>
          <w:szCs w:val="26"/>
          <w:lang w:val="ru-RU"/>
        </w:rPr>
      </w:pPr>
      <w:r>
        <w:rPr>
          <w:rFonts w:ascii="Times New Roman" w:hAnsi="Times New Roman"/>
          <w:b/>
          <w:szCs w:val="26"/>
          <w:lang w:val="ru-RU"/>
        </w:rPr>
        <w:t>Основные показатели о пожарах и их последствиях</w:t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276225</wp:posOffset>
            </wp:positionH>
            <wp:positionV relativeFrom="paragraph">
              <wp:posOffset>302895</wp:posOffset>
            </wp:positionV>
            <wp:extent cx="6106160" cy="3402965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283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Style28"/>
        <w:spacing w:lineRule="auto" w:line="276"/>
        <w:ind w:left="0" w:hanging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Подразделениями пожарной охраны от огня спасено 130 человек (АППГ – 80,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Подразделениями пожарной охраны от огня спасено 286 человек (АППГ – 270, рост на 5,9%), материальных ценностей на сумму 489393,3 тыс. рублей (АППГ  - 451742,2 тыс. рублей, рост на 8,3%), эвакуировано 1648 человека (АППГ-1382, рост  на 19,2%).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73 погибших людей взрослого населения, 32 человека находилось в состоянии алкогольного опьянения, что составляет -56,2% (АППГ – 28, рост  на 14,3%).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Если рассмотреть относительные показатели количества пожаров на 10 тыс. населения,  проживающего на территории, т.е. риск для человека оказаться в условиях действия опасных факторов пожара,   наиболее негативная обстановка  складывается в Оймяконском (61,1), Ленском (44,2), Сунтарском (36,7), Томпонском (35,8), Мирнинском (34,1), Алданском (32,5), Усть-Майском (28,9), Нерюнгринском (27,9), Верхнеколымском (27,6) районах. Средний уровень риска для Республики Саха (Якутия) составляет – 23,7.</w:t>
      </w:r>
    </w:p>
    <w:p>
      <w:pPr>
        <w:pStyle w:val="Style28"/>
        <w:spacing w:lineRule="auto" w:line="276"/>
        <w:jc w:val="center"/>
        <w:rPr>
          <w:b/>
          <w:b/>
          <w:szCs w:val="26"/>
        </w:rPr>
      </w:pPr>
      <w:r>
        <w:rPr/>
        <w:drawing>
          <wp:inline distT="0" distB="0" distL="0" distR="0">
            <wp:extent cx="5685155" cy="7188200"/>
            <wp:effectExtent l="0" t="0" r="0" b="0"/>
            <wp:docPr id="2" name="Диаграмма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аграмма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center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Диаграмма 2. Относительные показатели количества пожаров на 10 тыс. населения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Относительные показатели количества погибших на 10 тыс. населения,  проживающего на территории, т.е. риск для человека погибшего от пожара, указывают на негативную обстановку складывающуюся в  Оймяконском (3,8), Среднеколымском (2,7), Анабарском (2,7), Мегино-Кангаласском, Верхнеколымском, Кобяйском  (2,5).  Средний уровень риска для Республики Саха (Якутия) составляет - 0,7.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/>
        <w:drawing>
          <wp:inline distT="0" distB="0" distL="0" distR="0">
            <wp:extent cx="5685155" cy="7227570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Диаграмма 3. Относительные показатели количества погибших на 10 тыс. населения</w:t>
      </w:r>
    </w:p>
    <w:p>
      <w:pPr>
        <w:pStyle w:val="Style28"/>
        <w:spacing w:lineRule="auto" w:line="276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За анализируемый промежуток времени по виду населенных пунктов, наибольшее количество пожаров произошло в городах – 51,1% пожаров,  от их  общего количества. В сельских населенных пунктах зарегистрировано 26,2% пожаров, от их общего количества,  в населенных пунктах городского типа -18,2% пожаров, от их общего количества.</w:t>
      </w:r>
    </w:p>
    <w:p>
      <w:pPr>
        <w:pStyle w:val="Style28"/>
        <w:spacing w:lineRule="auto" w:line="276"/>
        <w:jc w:val="center"/>
        <w:rPr>
          <w:b/>
          <w:b/>
          <w:i/>
          <w:i/>
          <w:szCs w:val="26"/>
          <w:lang w:val="ru-RU"/>
        </w:rPr>
      </w:pPr>
      <w:r>
        <w:rPr>
          <w:b/>
          <w:i/>
          <w:szCs w:val="26"/>
          <w:lang w:val="ru-RU"/>
        </w:rPr>
      </w:r>
    </w:p>
    <w:tbl>
      <w:tblPr>
        <w:tblW w:w="975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9"/>
        <w:gridCol w:w="1604"/>
        <w:gridCol w:w="1603"/>
        <w:gridCol w:w="2152"/>
        <w:gridCol w:w="1985"/>
      </w:tblGrid>
      <w:tr>
        <w:trPr/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Cs w:val="26"/>
                <w:lang w:val="ru-RU"/>
              </w:rPr>
            </w:pPr>
            <w:r>
              <w:rPr>
                <w:b/>
                <w:bCs/>
                <w:color w:val="000000"/>
                <w:szCs w:val="26"/>
                <w:lang w:val="ru-RU"/>
              </w:rPr>
            </w:r>
          </w:p>
        </w:tc>
        <w:tc>
          <w:tcPr>
            <w:tcW w:w="16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Количество пожаров</w:t>
            </w:r>
          </w:p>
        </w:tc>
        <w:tc>
          <w:tcPr>
            <w:tcW w:w="1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Количество погибших</w:t>
            </w:r>
          </w:p>
        </w:tc>
        <w:tc>
          <w:tcPr>
            <w:tcW w:w="2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Количество травмированных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Style28"/>
              <w:spacing w:lineRule="auto" w:line="276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Ущерб</w:t>
            </w:r>
          </w:p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(тыс.рублей)</w:t>
            </w:r>
          </w:p>
        </w:tc>
      </w:tr>
      <w:tr>
        <w:trPr>
          <w:trHeight w:val="494" w:hRule="atLeast"/>
        </w:trPr>
        <w:tc>
          <w:tcPr>
            <w:tcW w:w="2409" w:type="dxa"/>
            <w:tcBorders/>
            <w:shd w:color="auto" w:fill="C0C0C0" w:val="clea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1604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1190</w:t>
            </w:r>
          </w:p>
        </w:tc>
        <w:tc>
          <w:tcPr>
            <w:tcW w:w="1603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2152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15476,4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Сельский населенный пункт</w:t>
            </w:r>
          </w:p>
        </w:tc>
        <w:tc>
          <w:tcPr>
            <w:tcW w:w="1604" w:type="dxa"/>
            <w:tcBorders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609</w:t>
            </w:r>
          </w:p>
        </w:tc>
        <w:tc>
          <w:tcPr>
            <w:tcW w:w="1603" w:type="dxa"/>
            <w:tcBorders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2152" w:type="dxa"/>
            <w:tcBorders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39188,6</w:t>
            </w:r>
          </w:p>
        </w:tc>
      </w:tr>
      <w:tr>
        <w:trPr/>
        <w:tc>
          <w:tcPr>
            <w:tcW w:w="2409" w:type="dxa"/>
            <w:tcBorders/>
            <w:shd w:color="auto" w:fill="C0C0C0" w:val="clea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Населенный пункт городского типа</w:t>
            </w:r>
          </w:p>
        </w:tc>
        <w:tc>
          <w:tcPr>
            <w:tcW w:w="1604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424</w:t>
            </w:r>
          </w:p>
        </w:tc>
        <w:tc>
          <w:tcPr>
            <w:tcW w:w="1603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52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/>
            <w:shd w:color="auto" w:fill="C0C0C0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17748,4</w:t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Вне территории населенного пункта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color w:val="000000"/>
                <w:szCs w:val="26"/>
                <w:lang w:val="ru-RU"/>
              </w:rPr>
            </w:pPr>
            <w:r>
              <w:rPr>
                <w:b/>
                <w:color w:val="000000"/>
                <w:szCs w:val="26"/>
                <w:lang w:val="ru-RU"/>
              </w:rPr>
              <w:t>89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color w:val="000000"/>
                <w:szCs w:val="26"/>
                <w:lang w:val="ru-RU"/>
              </w:rPr>
            </w:pPr>
            <w:r>
              <w:rPr>
                <w:b/>
                <w:color w:val="000000"/>
                <w:szCs w:val="26"/>
                <w:lang w:val="ru-RU"/>
              </w:rPr>
              <w:t>3</w:t>
            </w:r>
          </w:p>
        </w:tc>
        <w:tc>
          <w:tcPr>
            <w:tcW w:w="2152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28635,2</w:t>
            </w:r>
          </w:p>
        </w:tc>
      </w:tr>
      <w:tr>
        <w:trPr/>
        <w:tc>
          <w:tcPr>
            <w:tcW w:w="2409" w:type="dxa"/>
            <w:tcBorders/>
            <w:shd w:color="auto" w:fill="C0C0C0" w:val="clea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Вахтовый поселок</w:t>
            </w:r>
          </w:p>
        </w:tc>
        <w:tc>
          <w:tcPr>
            <w:tcW w:w="1604" w:type="dxa"/>
            <w:tcBorders/>
            <w:shd w:color="auto" w:fill="C0C0C0" w:val="clear"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color w:val="000000"/>
                <w:szCs w:val="26"/>
                <w:lang w:val="ru-RU"/>
              </w:rPr>
            </w:pPr>
            <w:r>
              <w:rPr>
                <w:b/>
                <w:color w:val="000000"/>
                <w:szCs w:val="26"/>
                <w:lang w:val="ru-RU"/>
              </w:rPr>
              <w:t>11</w:t>
            </w:r>
          </w:p>
        </w:tc>
        <w:tc>
          <w:tcPr>
            <w:tcW w:w="1603" w:type="dxa"/>
            <w:tcBorders/>
            <w:shd w:color="auto" w:fill="C0C0C0" w:val="clear"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color w:val="000000"/>
                <w:szCs w:val="26"/>
                <w:lang w:val="ru-RU"/>
              </w:rPr>
            </w:pPr>
            <w:r>
              <w:rPr>
                <w:b/>
                <w:color w:val="000000"/>
                <w:szCs w:val="26"/>
                <w:lang w:val="ru-RU"/>
              </w:rPr>
              <w:t>0</w:t>
            </w:r>
          </w:p>
        </w:tc>
        <w:tc>
          <w:tcPr>
            <w:tcW w:w="2152" w:type="dxa"/>
            <w:tcBorders/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/>
            <w:shd w:color="auto" w:fill="C0C0C0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2409" w:type="dxa"/>
            <w:tcBorders/>
            <w:shd w:color="auto" w:fill="auto" w:val="clea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Станция</w:t>
            </w:r>
          </w:p>
        </w:tc>
        <w:tc>
          <w:tcPr>
            <w:tcW w:w="1604" w:type="dxa"/>
            <w:tcBorders/>
            <w:shd w:color="auto" w:fill="auto" w:val="clear"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2</w:t>
            </w:r>
          </w:p>
        </w:tc>
        <w:tc>
          <w:tcPr>
            <w:tcW w:w="1603" w:type="dxa"/>
            <w:tcBorders/>
            <w:shd w:color="auto" w:fill="auto" w:val="clear"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215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2409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Разъезд, перегон</w:t>
            </w:r>
          </w:p>
        </w:tc>
        <w:tc>
          <w:tcPr>
            <w:tcW w:w="1604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1</w:t>
            </w:r>
          </w:p>
        </w:tc>
        <w:tc>
          <w:tcPr>
            <w:tcW w:w="1603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Style28"/>
              <w:spacing w:lineRule="auto" w:line="276" w:before="0" w:after="120"/>
              <w:jc w:val="center"/>
              <w:rPr>
                <w:b/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1</w:t>
            </w:r>
          </w:p>
        </w:tc>
        <w:tc>
          <w:tcPr>
            <w:tcW w:w="2152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</w:tbl>
    <w:p>
      <w:pPr>
        <w:pStyle w:val="Style28"/>
        <w:spacing w:lineRule="auto" w:line="276"/>
        <w:ind w:left="283" w:firstLine="709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  <w:t>Таблица 1. Распределение количества пожаров и последствий от них  по виду населенных пунктов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28"/>
        <w:spacing w:lineRule="auto" w:line="276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анализируемый промежуток времени, наибольшее количество пожаров произошло в мае - 323 пожара и июне -277  пожаров, что обусловлено сезонным ростом количества горения мусора и сухой растительности.</w:t>
      </w:r>
    </w:p>
    <w:p>
      <w:pPr>
        <w:pStyle w:val="Style28"/>
        <w:spacing w:lineRule="auto" w:line="276"/>
        <w:ind w:left="283" w:firstLine="567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28"/>
        <w:spacing w:lineRule="auto" w:line="276"/>
        <w:jc w:val="center"/>
        <w:rPr>
          <w:b/>
          <w:b/>
          <w:szCs w:val="26"/>
        </w:rPr>
      </w:pPr>
      <w:r>
        <w:rPr/>
        <w:drawing>
          <wp:inline distT="0" distB="0" distL="0" distR="0">
            <wp:extent cx="6138545" cy="2369185"/>
            <wp:effectExtent l="0" t="0" r="0" b="0"/>
            <wp:docPr id="4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Style28"/>
        <w:spacing w:lineRule="auto" w:line="276"/>
        <w:jc w:val="both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</w:r>
    </w:p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  <w:t xml:space="preserve">Диаграмма 4. Распределение количества пожаров по месяцам </w:t>
      </w:r>
    </w:p>
    <w:p>
      <w:pPr>
        <w:pStyle w:val="Style28"/>
        <w:spacing w:lineRule="auto" w:line="276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период месяцев май-июнь рост количества пожаров наблюдался на территории 7 районов: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город Якутск (за 2 месяца произошло 233 пожара).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Мирнинского (за 2 месяца произошло 61 пожар);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Ленского (за 2 месяца произошло 53 пожара);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Нерюнгринского (за 2 месяца произошло 43 пожара);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Сунтарского (за 2 месяца произошло 27 пожаров);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Мегино-Кангаласского (за 2 месяца зарегистрировано 20 пожаров);</w:t>
      </w:r>
    </w:p>
    <w:p>
      <w:pPr>
        <w:pStyle w:val="Style28"/>
        <w:spacing w:lineRule="auto" w:line="276" w:before="0" w:after="0"/>
        <w:ind w:left="0" w:firstLine="99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Намского (за 2 месяца произошло 17 пожаров);</w:t>
      </w:r>
    </w:p>
    <w:p>
      <w:pPr>
        <w:pStyle w:val="Style28"/>
        <w:spacing w:lineRule="auto" w:line="276"/>
        <w:ind w:left="0" w:firstLine="992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28"/>
        <w:spacing w:lineRule="auto" w:line="276"/>
        <w:ind w:left="28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Гибель людей зарегистрирована в 23 районах республики и городе Якутск (приложение 1).</w:t>
      </w:r>
    </w:p>
    <w:p>
      <w:pPr>
        <w:pStyle w:val="Style28"/>
        <w:spacing w:lineRule="auto" w:line="276"/>
        <w:ind w:left="28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Рост гибели отмечается в 13 районах: Анабарском на 1 чел., Верхневилюйском на 4 чел, Верхнеколымском на 1 чел., Вилюйском на 1 чел., Кобяйском на 1 чел., Нюрбинском на 1 чел., Миринском в 2,5р., Мегино-Кангаласском на 6 чел., Олекминском на 4 чел., Оймяконском на 2 чел., Хангаласском на 3 чел., Усть-Алданском на 1 чел., Усть-Майском на 1 чел. </w:t>
      </w:r>
    </w:p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/>
        <w:drawing>
          <wp:inline distT="0" distB="0" distL="0" distR="0">
            <wp:extent cx="6321425" cy="3649345"/>
            <wp:effectExtent l="0" t="0" r="0" b="0"/>
            <wp:docPr id="5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i/>
          <w:szCs w:val="26"/>
          <w:lang w:val="ru-RU"/>
        </w:rPr>
        <w:t xml:space="preserve"> </w:t>
      </w:r>
      <w:r>
        <w:rPr>
          <w:i/>
          <w:szCs w:val="26"/>
          <w:lang w:val="ru-RU"/>
        </w:rPr>
        <w:t>Диаграмма 5. Распределение  количества погибших людей на пожарах по месяцам</w:t>
      </w:r>
    </w:p>
    <w:p>
      <w:pPr>
        <w:pStyle w:val="Style28"/>
        <w:spacing w:lineRule="auto" w:line="276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Cs w:val="26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За анализируемый промежуток времени, наибольшее количество погибших при пожарах пришлось на февраль  - 18 человек и апрель – 13 человек. Из 31 погибших в указанных месяцах 29 погибло в жилом секторе, что составляет 93,5%, в том числе в многоквартирных домах погибло 15 человек, в частных домах погибло 12 человек, в дачных домах погибло 2 человека. В состоянии алкогольного опьянения находилось 9 человек. Причинами пожаров с гибелью людей  в рассматриваемых периодах стали неосторожное обращение с огнем – 8 случаев, нарушение правил устройства и эксплуатации электрооборудования – 8 пожаров, нарушение правил устройства и эксплуатации печей – 3 пожара. 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  <w:tab/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году, по сравнению с 2020 годом увеличилась доля погибших детей. В текущем году погибло 16 детей (в 2020 году – 10 детей,  рост на 60%). Гибель детей допущена в  Верхневилюйском (1), Кобяйском (2), Мирнинском (1),  Мегино-Кангаласском (2), Намском (1), Усть-Алданском (1), Хангаласском (2)  районах и городе Якутск (6). Все  пожары с гибелью детей допущены в жилом секторе, в том числе в частных домах – 6 пожаров, в многоквартирных домах – 4 пожара, вагончик для жилья – 1 пожар.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Условия гибели людей на пожарах и социальное положение погибших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Основным условием, способствовавшим гибели людей явилось нахождение в состоянии алкогольного опьянения  - 32 случая (43,8% от взрослого количества погибших людей), невозможность принятия правильного решения по причине малолетнего возраста – 10 случаев (10%), нахождение в состоянии сна – 13  случаев (14,6%), а так же болезненное состояние, исключающее возможность самостоятельного передвижения, преклонный возраст – 5 случаев (5,6%), прочие условия способствовавшие гибели – 29 случаев.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показывает, что 63,5% погибших людей относятся к социально незащищенным слоям населения, а именно: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пенсионеры – 25 человек (28,0%);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безработные (домохозяйки) – 26 человек (29,2%);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дети – 16 человек (17,9%);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инвалиды – 2  (2,2%);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установлено социальное положение 9 погибших.  Так же в результате пожаров погибло 10 человек трудоспособного населения, работники рабочих специальностей.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Наибольшее количество гибели людей допущено в одноквартирных жилых домах – 40 человек (44,9%) и многоквартирных жилых домах – 37 (41,5%). При  этом,  наибольшее количество пожаров с гибелью людей произошло в зданиях с низкой пожарной устойчивостью – 87,1%.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pPr w:vertAnchor="text" w:horzAnchor="margin" w:tblpXSpec="center" w:leftFromText="180" w:rightFromText="180" w:tblpY="-66"/>
        <w:tblW w:w="77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7"/>
        <w:gridCol w:w="696"/>
        <w:gridCol w:w="736"/>
        <w:gridCol w:w="836"/>
        <w:gridCol w:w="736"/>
        <w:gridCol w:w="823"/>
        <w:gridCol w:w="712"/>
      </w:tblGrid>
      <w:tr>
        <w:trPr>
          <w:trHeight w:val="330" w:hRule="atLeast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Погибших людей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т.ч. детей</w:t>
            </w:r>
          </w:p>
        </w:tc>
      </w:tr>
      <w:tr>
        <w:trPr>
          <w:trHeight w:val="330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+119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+50</w:t>
            </w:r>
          </w:p>
        </w:tc>
      </w:tr>
      <w:tr>
        <w:trPr>
          <w:trHeight w:val="330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+29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+20</w:t>
            </w:r>
          </w:p>
        </w:tc>
      </w:tr>
      <w:tr>
        <w:trPr>
          <w:trHeight w:val="330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Садовый дом, дача и др.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Баня, сауна на территории домовладения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Прочее здание жилого назначения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+100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+100</w:t>
            </w:r>
          </w:p>
        </w:tc>
      </w:tr>
      <w:tr>
        <w:trPr>
          <w:trHeight w:val="279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+100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9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Легковые автомобили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-67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вспомогательные, временные здания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Гараж (гаражный бокс)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эксплуатируемые здания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Объекты на открытой территории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Строящиеся здания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+45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+50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Таблица 1. Распределение гибели людей  по объектам</w:t>
      </w:r>
    </w:p>
    <w:p>
      <w:pPr>
        <w:pStyle w:val="Normal"/>
        <w:spacing w:before="0" w:after="0"/>
        <w:rPr>
          <w:rFonts w:ascii="Times New Roman" w:hAnsi="Times New Roman"/>
          <w:bCs/>
          <w:i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8"/>
        <w:gridCol w:w="5068"/>
      </w:tblGrid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Степень огнестойкости здания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пожаров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Степень огнестойкости отсутствует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</w:tbl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Таблица 2. Распределение количества пожаров с гибелью людей по степени огнестойкости объектов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анализ погибших по возрастному признаку. Наибольшее количество погибших от 18 до 45 лет – 29,2%, в возрасте старше 60 лет погибло 26,9% людей, в возрасте от 46 до 60 лет погибло 21,3%.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661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2"/>
        <w:gridCol w:w="3076"/>
      </w:tblGrid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Возраст погибших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погибших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0-9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10-17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18-45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46-60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61-85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>
        <w:trPr/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Возраст погибшего не определен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>
      <w:pPr>
        <w:pStyle w:val="Normal"/>
        <w:spacing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Таблица 3. Распределение количества погибших по возрастам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60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601"/>
        <w:jc w:val="center"/>
        <w:rPr>
          <w:rFonts w:ascii="Times New Roman" w:hAnsi="Times New Roman"/>
          <w:i/>
          <w:i/>
          <w:sz w:val="26"/>
          <w:szCs w:val="26"/>
        </w:rPr>
      </w:pPr>
      <w:r>
        <w:rPr/>
        <w:drawing>
          <wp:inline distT="0" distB="0" distL="0" distR="0">
            <wp:extent cx="5502275" cy="1828800"/>
            <wp:effectExtent l="0" t="0" r="0" b="0"/>
            <wp:docPr id="6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Диаграмма 8. Распределение количества пожаров и гибели людей по дням недели</w:t>
      </w:r>
    </w:p>
    <w:p>
      <w:pPr>
        <w:pStyle w:val="Normal"/>
        <w:spacing w:before="0" w:after="0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8"/>
        <w:spacing w:lineRule="auto" w:line="276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анализируемый период наибольшее количество пожаров пришлось на воскресенье, 373 пожара (16%), пятницу - 352 пожара (15,1%), погибших на пятницу - 20  погибших (22,4%) и вторник – 16 (17,9%).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Условия получения людьми травм на пожарах</w:t>
      </w:r>
    </w:p>
    <w:p>
      <w:pPr>
        <w:pStyle w:val="Style28"/>
        <w:spacing w:lineRule="auto" w:line="276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highlight w:val="yellow"/>
          <w:lang w:val="ru-RU"/>
        </w:rPr>
      </w:r>
    </w:p>
    <w:p>
      <w:pPr>
        <w:pStyle w:val="Style28"/>
        <w:spacing w:lineRule="auto" w:line="276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Основным условием получения людьми травм на пожарах в 28,9 % (22)   случаев нахождение в состоянии алкогольного (наркотического) опьянения, паника 23,6% (18),  нахождение в состоянии сна 17,1% (13). 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28"/>
        <w:spacing w:lineRule="auto" w:line="276"/>
        <w:rPr>
          <w:szCs w:val="26"/>
        </w:rPr>
      </w:pPr>
      <w:r>
        <w:rPr/>
        <w:drawing>
          <wp:inline distT="0" distB="0" distL="0" distR="0">
            <wp:extent cx="6082665" cy="3180715"/>
            <wp:effectExtent l="0" t="0" r="0" b="0"/>
            <wp:docPr id="7" name="Объе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  <w:t>Диаграмма 6. Условия, способствовавшие травмированию людей на пожарах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8"/>
        <w:ind w:left="283" w:firstLine="600"/>
        <w:rPr>
          <w:szCs w:val="26"/>
          <w:lang w:val="ru-RU"/>
        </w:rPr>
      </w:pPr>
      <w:r>
        <w:rPr>
          <w:szCs w:val="26"/>
          <w:lang w:val="ru-RU"/>
        </w:rPr>
        <w:tab/>
      </w:r>
    </w:p>
    <w:p>
      <w:pPr>
        <w:pStyle w:val="Style28"/>
        <w:ind w:left="283" w:firstLine="600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Style28"/>
        <w:ind w:left="397" w:hanging="0"/>
        <w:jc w:val="center"/>
        <w:rPr>
          <w:i/>
          <w:i/>
          <w:szCs w:val="26"/>
          <w:lang w:val="ru-RU"/>
        </w:rPr>
      </w:pPr>
      <w:r>
        <w:rPr/>
        <w:drawing>
          <wp:inline distT="0" distB="0" distL="0" distR="0">
            <wp:extent cx="5764530" cy="2806700"/>
            <wp:effectExtent l="0" t="0" r="0" b="0"/>
            <wp:docPr id="8" name="Объект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b/>
          <w:i/>
          <w:szCs w:val="26"/>
          <w:lang w:val="ru-RU"/>
        </w:rPr>
        <w:t xml:space="preserve"> </w:t>
      </w:r>
      <w:r>
        <w:rPr>
          <w:i/>
          <w:szCs w:val="26"/>
          <w:lang w:val="ru-RU"/>
        </w:rPr>
        <w:t>Диаграмма 7. Распределение количества травмированных людей на пожарах по месяцам</w:t>
      </w:r>
    </w:p>
    <w:p>
      <w:pPr>
        <w:pStyle w:val="Style28"/>
        <w:ind w:left="680" w:hanging="0"/>
        <w:rPr>
          <w:b/>
          <w:b/>
          <w:szCs w:val="26"/>
          <w:lang w:val="ru-RU"/>
        </w:rPr>
      </w:pPr>
      <w:r>
        <w:rPr>
          <w:b/>
          <w:szCs w:val="26"/>
          <w:lang w:val="ru-RU"/>
        </w:rPr>
      </w:r>
    </w:p>
    <w:p>
      <w:pPr>
        <w:pStyle w:val="Style28"/>
        <w:spacing w:lineRule="auto" w: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Cs w:val="26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 анализируемый промежуток времени, наибольшее количество травмированных при пожарах пришлось на январь, апрель и ноябрь  - по  11 человек.</w:t>
      </w:r>
    </w:p>
    <w:p>
      <w:pPr>
        <w:pStyle w:val="Style28"/>
        <w:spacing w:lineRule="auto" w:line="276"/>
        <w:ind w:left="28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 местом возникновения пожаров на территории республики  являются объекты жилого сектора, где зарегистрировано 1041 пожар, что составляет 44,7% от общего количества пожаров, места открытого хранения - 565 пожаров (24,2%), транспортные средства – 206 пожаров (8,8%), здания производственного значения – 133 пожар, (5,7%).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/>
        <w:drawing>
          <wp:inline distT="0" distB="0" distL="0" distR="0">
            <wp:extent cx="6209665" cy="3721100"/>
            <wp:effectExtent l="0" t="0" r="0" b="0"/>
            <wp:docPr id="9" name="Объект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Style28"/>
        <w:spacing w:lineRule="auto" w:line="276"/>
        <w:ind w:left="283" w:firstLine="567"/>
        <w:jc w:val="center"/>
        <w:rPr>
          <w:szCs w:val="26"/>
          <w:lang w:val="ru-RU"/>
        </w:rPr>
      </w:pPr>
      <w:r>
        <w:rPr>
          <w:i/>
          <w:szCs w:val="26"/>
          <w:lang w:val="ru-RU"/>
        </w:rPr>
        <w:t>Диаграмма 9. Распределение количества  пожаров по основным объектам</w:t>
      </w:r>
    </w:p>
    <w:p>
      <w:pPr>
        <w:pStyle w:val="Style28"/>
        <w:spacing w:lineRule="auto" w:line="276" w:before="0" w:after="0"/>
        <w:ind w:left="0" w:firstLine="9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май-июнь 2021 года на территории республики увеличилось количество пожаров в местах открытого хранения веществ и материалов (за 2 месяца произошел 281 пожар), в бесхозяйных зданиях (за 2 месяца произошло 40 пожаров).</w:t>
      </w:r>
    </w:p>
    <w:p>
      <w:pPr>
        <w:pStyle w:val="Style28"/>
        <w:spacing w:lineRule="auto" w:line="276" w:before="0" w:after="0"/>
        <w:ind w:left="0" w:firstLine="9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анализируемый промежуток времени наибольшее количество пожаров произошло в многоквартирных жилых домах – 247 (23,7% от общего количества пожаров в жилом секторе), в одноквартирных жилых домах  - 237 (22,7%).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</w:r>
    </w:p>
    <w:tbl>
      <w:tblPr>
        <w:tblpPr w:bottomFromText="0" w:horzAnchor="margin" w:leftFromText="180" w:rightFromText="180" w:tblpX="108" w:tblpY="0" w:tblpYSpec="outside" w:topFromText="0" w:vertAnchor="text"/>
        <w:tblW w:w="976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1025"/>
        <w:gridCol w:w="852"/>
        <w:gridCol w:w="883"/>
        <w:gridCol w:w="791"/>
        <w:gridCol w:w="736"/>
        <w:gridCol w:w="836"/>
        <w:gridCol w:w="736"/>
        <w:gridCol w:w="823"/>
        <w:gridCol w:w="708"/>
      </w:tblGrid>
      <w:tr>
        <w:trPr>
          <w:trHeight w:val="330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Кол-во пожаров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Погибших людей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т.ч. детей</w:t>
            </w:r>
          </w:p>
        </w:tc>
      </w:tr>
      <w:tr>
        <w:trPr>
          <w:trHeight w:val="33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Одноквартирный жилой дом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+8,2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+66,6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+100</w:t>
            </w:r>
          </w:p>
        </w:tc>
      </w:tr>
      <w:tr>
        <w:trPr>
          <w:trHeight w:val="33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Многоквартирный жилой дом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-24,4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+48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+40</w:t>
            </w:r>
          </w:p>
        </w:tc>
      </w:tr>
      <w:tr>
        <w:trPr>
          <w:trHeight w:val="33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Садовый дом, дача и др.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+33,3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Гараж, тент-укрытие и т.д.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-6,2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66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Баня, сауна на территории домовладения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-15,6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Надворная постройка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-13,3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734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Вагончик для жилья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+2,6р.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 сл.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734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Прочее здание жилого назначения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+12,9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+ 1сл.</w:t>
            </w:r>
          </w:p>
        </w:tc>
      </w:tr>
      <w:tr>
        <w:trPr>
          <w:trHeight w:val="289" w:hRule="atLeast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-8,6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+47,4</w:t>
            </w:r>
          </w:p>
        </w:tc>
        <w:tc>
          <w:tcPr>
            <w:tcW w:w="7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+60</w:t>
            </w:r>
          </w:p>
        </w:tc>
      </w:tr>
    </w:tbl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  <w:t>Таблица 5. Распределение количества пожаров и погибших  в жилом секторе</w:t>
      </w:r>
    </w:p>
    <w:p>
      <w:pPr>
        <w:pStyle w:val="Style28"/>
        <w:spacing w:lineRule="auto" w:line="276"/>
        <w:ind w:left="0" w:firstLine="99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течение 2021 года произошло 1414 пожаров (60,7% от общего количества пожаров) (АППГ-1499, снижение на 5,6%), на объектах, которым присвоена категория риска, из них 82,4% на объектах отнесенных к низкой категории риска (АППГ-75,1%, рост на 9,7%), 14,1% на объектах умеренного риска (АППГ-18,7%, снижение 24,5%), 1,5% на объектах отнесенных к средней категории риска (АППГ-4,1%, снижение на 63,4%), менее одного процента произошли пожары на объектах, отнесенных к чрезвычайно высокой категории, высокой и значительной категории  риска. Проведенный анализ показал, что за анализируемый промежуток времени произошел рост количества пожаров на объектах, отнесенных к чрезвычайно высокой категории риска (+2 сл.), высокой категории риска (+40%.). 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</w:r>
    </w:p>
    <w:tbl>
      <w:tblPr>
        <w:tblW w:w="89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94"/>
        <w:gridCol w:w="850"/>
        <w:gridCol w:w="850"/>
        <w:gridCol w:w="1134"/>
        <w:gridCol w:w="850"/>
        <w:gridCol w:w="992"/>
        <w:gridCol w:w="993"/>
      </w:tblGrid>
      <w:tr>
        <w:trPr>
          <w:trHeight w:val="518" w:hRule="atLeast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Кол-во пожаров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Погибло людей</w:t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Чрезвычайно высокий риск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+2 сл.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Высокий риск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4248" w:hang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Значительный риск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Средний риск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+1 сл.</w:t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Умеренный риск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-7,1</w:t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Низкий риск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1166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+55,3</w:t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 подлежит категорированию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-50</w:t>
            </w:r>
          </w:p>
        </w:tc>
      </w:tr>
      <w:tr>
        <w:trPr>
          <w:trHeight w:val="259" w:hRule="atLeast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2326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+36,9</w:t>
            </w:r>
          </w:p>
        </w:tc>
      </w:tr>
    </w:tbl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  <w:t>Таблица 3. Распределение количества пожаров по объектам, отнесенных к категориям риска</w:t>
      </w:r>
    </w:p>
    <w:p>
      <w:pPr>
        <w:pStyle w:val="Style28"/>
        <w:spacing w:lineRule="auto" w: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Cs w:val="26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За анализируемый промежуток времени зарегистрирован 106 пожаров, на объектах малого и среднего предпринимательства, что составляет 6% от общего количества пожаров на поднадзорных объектах.  В сравнении с аналогичным периодом прошлого года наблюдается тенденция роста количества пожаров на объектах малого и среднего предпринимательства на 14%.</w:t>
      </w:r>
    </w:p>
    <w:p>
      <w:pPr>
        <w:pStyle w:val="Style28"/>
        <w:spacing w:lineRule="auto" w:line="276"/>
        <w:rPr>
          <w:szCs w:val="26"/>
          <w:lang w:val="ru-RU"/>
        </w:rPr>
      </w:pPr>
      <w:r>
        <w:rPr>
          <w:szCs w:val="26"/>
          <w:lang w:val="ru-RU"/>
        </w:rPr>
      </w:r>
    </w:p>
    <w:tbl>
      <w:tblPr>
        <w:tblW w:w="8700" w:type="dxa"/>
        <w:jc w:val="left"/>
        <w:tblInd w:w="104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31"/>
        <w:gridCol w:w="1129"/>
        <w:gridCol w:w="861"/>
        <w:gridCol w:w="1267"/>
        <w:gridCol w:w="986"/>
        <w:gridCol w:w="988"/>
        <w:gridCol w:w="737"/>
      </w:tblGrid>
      <w:tr>
        <w:trPr>
          <w:trHeight w:val="300" w:hRule="atLeast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пожаров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погибших</w:t>
            </w:r>
          </w:p>
        </w:tc>
      </w:tr>
      <w:tr>
        <w:trPr>
          <w:trHeight w:val="300" w:hRule="atLeast"/>
        </w:trPr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Микро предприятие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+24,2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00" w:hRule="atLeast"/>
        </w:trPr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Малое предприятие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-13,1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00" w:hRule="atLeast"/>
        </w:trPr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 предприятие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+31,0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300" w:hRule="atLeast"/>
        </w:trPr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+7,3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</w:r>
    </w:p>
    <w:p>
      <w:pPr>
        <w:pStyle w:val="Style28"/>
        <w:spacing w:lineRule="auto" w:line="276"/>
        <w:jc w:val="center"/>
        <w:rPr>
          <w:i/>
          <w:i/>
          <w:szCs w:val="26"/>
          <w:lang w:val="ru-RU"/>
        </w:rPr>
      </w:pPr>
      <w:r>
        <w:rPr>
          <w:i/>
          <w:szCs w:val="26"/>
          <w:lang w:val="ru-RU"/>
        </w:rPr>
        <w:t>Таблица 4. Распределение количества пожаров на объектах малого и среднего предпринимательства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течение 2021 года на территории республики произошло 7 пожаров на объектах образования (АППГ-4 рост на 75%):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29 января 201 года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ru-RU"/>
        </w:rPr>
        <w:t>здание МБОУ «Кустурская СОШ им. И.Н. Слепцова», расположенного в с. Кустур Эвено-Бытантайского района. В результате пожара полностью уничтожено здание школы на общей площади 1218 кв.м. Причиной пожара стало нарушение правил монтажа электрооборудования.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- 02 марта 2021 года, здание МБОУ  «Мюрюнская СОШ №1 им. Г.В. Егорова», расположенного в с. Борогонцы Усть-Алданского района.  В результате пожара повреждено подсобное помещение на общей площади 46 кв. м. Причиной пожара стало нарушение правил устройства и эксплуатации электрооборудования.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- 18 марта 2021 года, здание МКДОУ детский сад №2 «Чебурашка», расположенного в г. Ленск, Ленского района. В результате пожара повреждено помещение класса на общей площади 3 кв.м. Причиной пожара стал недостаток конструкции и изготовления электроприборов.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- 18 января 2021 года здание МБУ ДО «Эльгяйского регионального музейно-экологического центра», расположенного в с. Эльгяй, Сунтарского района. В результате пожара повреждено помещение мастерской на общей площади 6 кв. м. Причиной пожара стала неосторожность при использовании для освещения приборов с открытым пламенем.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- 02 мая 2021 года, здание спортзала МБУ ДО «Оленекская ДЮСШ», расположенного в с. Оленек Оленекского района. В результате пожара повреждено помещение спортзала на общей площади 6 кв.м. Причиной пожара стало нарушение правил устройства и эксплуатации электрооборудования.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- 30 июня 2021 года здание МБДОУ «Центр развития ребенка – детский сад «Кэскил», расположенного в с. Налимск Среднеколымского района. В результате пожара поврежден здание детского сада на общей площади 360 кв. м. Причиной пожара стало нарушение правил устройства и эксплуатации электрооборудования. </w:t>
      </w:r>
    </w:p>
    <w:p>
      <w:pPr>
        <w:pStyle w:val="Style28"/>
        <w:spacing w:lineRule="auto" w:line="276" w:before="0" w:after="0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- 21 июля 2021 года мастерской МКОУ «Дельгейская СОШ», расположенного в с. Дельгей Олекминского района. В результате пожара уничтожено здание мастерской и хозяйственная постройка на общей площади 128 кв. м. Причиной пожара стало нарушение правил устройства и эксплуатации электрооборудования.</w:t>
      </w:r>
    </w:p>
    <w:p>
      <w:pPr>
        <w:pStyle w:val="Style28"/>
        <w:spacing w:lineRule="auto" w:line="276" w:before="0" w:after="0"/>
        <w:ind w:left="284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>
      <w:pPr>
        <w:pStyle w:val="Normal"/>
        <w:numPr>
          <w:ilvl w:val="0"/>
          <w:numId w:val="0"/>
        </w:numPr>
        <w:spacing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возникновения пожаров на территории республики   в 2021 году являлись: </w:t>
      </w:r>
    </w:p>
    <w:p>
      <w:pPr>
        <w:pStyle w:val="Normal"/>
        <w:numPr>
          <w:ilvl w:val="0"/>
          <w:numId w:val="0"/>
        </w:numPr>
        <w:spacing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неосторожное обращение с огнем взрослого населения - 937 пожаров (40,2% от общего количества пожаров);</w:t>
      </w:r>
    </w:p>
    <w:p>
      <w:pPr>
        <w:pStyle w:val="Normal"/>
        <w:numPr>
          <w:ilvl w:val="0"/>
          <w:numId w:val="0"/>
        </w:numPr>
        <w:spacing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правил устройства и эксплуатации электрооборудования и бытовых электроприборов –553 пожаров (23,7% от общего количества пожаров);</w:t>
      </w:r>
    </w:p>
    <w:p>
      <w:pPr>
        <w:pStyle w:val="Normal"/>
        <w:numPr>
          <w:ilvl w:val="0"/>
          <w:numId w:val="0"/>
        </w:numPr>
        <w:spacing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правил устройства и эксплуатации печей - 356 пожаров (15,3% от общего количества пожаров);</w:t>
      </w:r>
    </w:p>
    <w:p>
      <w:pPr>
        <w:pStyle w:val="Normal"/>
        <w:numPr>
          <w:ilvl w:val="0"/>
          <w:numId w:val="0"/>
        </w:numPr>
        <w:spacing w:before="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причины возникновения пожаров - 392 пожаров (16,8% от общего количества пожаров).</w:t>
      </w:r>
    </w:p>
    <w:p>
      <w:pPr>
        <w:pStyle w:val="Style28"/>
        <w:spacing w:lineRule="auto" w:line="276"/>
        <w:ind w:left="283" w:firstLine="708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Normal"/>
        <w:numPr>
          <w:ilvl w:val="0"/>
          <w:numId w:val="0"/>
        </w:numPr>
        <w:spacing w:before="0"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0"/>
        <w:ind w:firstLine="567"/>
        <w:jc w:val="both"/>
        <w:outlineLvl w:val="0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</w:p>
    <w:p>
      <w:pPr>
        <w:pStyle w:val="Style28"/>
        <w:tabs>
          <w:tab w:val="clear" w:pos="708"/>
          <w:tab w:val="left" w:pos="993" w:leader="none"/>
        </w:tabs>
        <w:spacing w:lineRule="auto" w:line="276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szCs w:val="26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По сравнению с аналогичным периодом прошлого года увеличилось количество пожаров по причине нарушений правил устройства и эксплуатации электрооборудования – 553 (АППГ 495, рост на 11,7%), неосторожное обращение с огнем детей 61 (АППГ-41, рост на 48,7%).</w:t>
      </w:r>
    </w:p>
    <w:p>
      <w:pPr>
        <w:pStyle w:val="Style28"/>
        <w:spacing w:lineRule="auto" w:line="27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284" w:leader="none"/>
        </w:tabs>
        <w:spacing w:lineRule="auto" w:line="276" w:before="0" w:after="0"/>
        <w:ind w:left="0" w:hanging="0"/>
        <w:contextualSpacing/>
        <w:jc w:val="center"/>
        <w:outlineLvl w:val="1"/>
        <w:rPr>
          <w:rFonts w:ascii="Times New Roman" w:hAnsi="Times New Roman"/>
          <w:b/>
          <w:b/>
          <w:sz w:val="28"/>
          <w:szCs w:val="28"/>
          <w:lang w:eastAsia="ru-RU"/>
        </w:rPr>
      </w:pPr>
      <w:bookmarkStart w:id="19" w:name="_Toc478730245"/>
      <w:bookmarkStart w:id="20" w:name="_Toc478717228"/>
      <w:bookmarkStart w:id="21" w:name="_Toc504404851"/>
      <w:bookmarkStart w:id="22" w:name="_Toc487534948"/>
      <w:bookmarkStart w:id="23" w:name="_Toc487533768"/>
      <w:bookmarkStart w:id="24" w:name="_Toc487533418"/>
      <w:bookmarkStart w:id="25" w:name="_Toc478720909"/>
      <w:bookmarkStart w:id="26" w:name="_Toc478717230"/>
      <w:bookmarkEnd w:id="19"/>
      <w:bookmarkEnd w:id="20"/>
      <w:r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>
        <w:rPr>
          <w:rFonts w:ascii="Times New Roman" w:hAnsi="Times New Roman"/>
          <w:b/>
          <w:sz w:val="28"/>
          <w:szCs w:val="28"/>
          <w:lang w:eastAsia="ru-RU"/>
        </w:rPr>
        <w:t>Анализ проводимой профилактической работы</w:t>
      </w:r>
      <w:bookmarkEnd w:id="21"/>
      <w:bookmarkEnd w:id="22"/>
      <w:bookmarkEnd w:id="23"/>
      <w:bookmarkEnd w:id="24"/>
      <w:bookmarkEnd w:id="25"/>
      <w:bookmarkEnd w:id="26"/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outlineLvl w:val="1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Профилактическую работу можно разделить на два основных направления.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Первое это -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профилактическая работа, осуществляемая в рамках </w:t>
      </w:r>
      <w:r>
        <w:rPr>
          <w:rFonts w:ascii="Times New Roman" w:hAnsi="Times New Roman"/>
          <w:sz w:val="28"/>
          <w:szCs w:val="28"/>
        </w:rPr>
        <w:t>приказа Главного управления МЧС России по Республике Саха (Якутия) от 05.02.2021 года № 96 «Об организации гарнизонной службы в территориальном пожарно-спасательном гарнизоне Республике Саха (Якутия)»,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Главного управления от 31 декабря 2020 года № 809 «Об организации работы по профилактике пожаров на территории Республики Саха (Якутия) в 2021 году», План гарнизонных мероприятий на 2021 год и План работы нештатной службы профилактики на 2021 год.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указанной деятельности проведены мероприятия, направленные на профилактику нарушений обязательных требований, противопожарной пропаганды, информационного обеспечения в области пожарной безопасности, обучение населения мерам пожарной безопасности, организация и осуществление профилактики пожаров и предупреждения гибели и травматизма людей на пожарах, в том числе в жилом секторе.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профилактики нарушений обязательных требований в области пожарной безопасности в течение года территориальными подразделениями надзорной деятельности проведено информирований по вопросам соблюдения обязательных требований посредством размещения соответствующих сведений – 3894, в том числе: на официальном сайте в сети «Интернет» - 2488, на телевидении – 167, на радио – 710, в периодической печати – 409, проведения конференций, семинаров (включая формат видео-конференц-связи) – 120. Осуществлено консультирований по обращениям контролируемых лиц и их представителей – 4716.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целью противопожарной пропаганды особое внимание уделяется проведению массовых профилактических мероприятий. Всего на территории республики проведено 3212 таких мероприятий с охватом 91 248 человек.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за год на территории республики проведено профилактических практических отработок – 3209 с охватом 75 325 человек, в том числе: отработок эвакуации людей из зданий – 1660 с охватом – 65 232 чел., отработок оперативных планов (карточек) пожаротушения совместно с пожарно-спасательными подразделениями – 1549 с охватом 10 093 чел.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организации и осуществления профилактики пожаров в жилом секторе территориальными подразделениями и силами местных ПСГ проведено 9903 рейдов, в том числе по местам: проживания многодетных семей – 3816, одиноко проживающих пенсионеров и инвалидов – 955, проживания социально неадаптированных граждан с представителями ОВД – 1397, других – 3735. Направлено 412 информаций по вопросам пожарной безопасности жилого сектора, в том числе: в органы власти республики – 11, в органы местного самоуправления – 252, руководителям жилищных организаций – 149.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предупреждения пожаров и гибели людей на пожарах в жилом секторе проводится профилактическая работа нештатной службой профилактики. По состоянию на 29 декабря 2021 года на территории республики, в целях проведения рейдов совместно с представителями органов внутренних дел, опеки и попечительства </w:t>
      </w:r>
      <w:r>
        <w:rPr>
          <w:rFonts w:cs="Times New Roman" w:ascii="Times New Roman" w:hAnsi="Times New Roman"/>
          <w:bCs/>
          <w:sz w:val="28"/>
          <w:szCs w:val="28"/>
        </w:rPr>
        <w:t xml:space="preserve">взято на учёт 17081 мест проживания </w:t>
      </w:r>
      <w:r>
        <w:rPr>
          <w:rFonts w:cs="Times New Roman" w:ascii="Times New Roman" w:hAnsi="Times New Roman"/>
          <w:sz w:val="28"/>
          <w:szCs w:val="28"/>
        </w:rPr>
        <w:t>малоимущих семей (АППГ-2627 неблагополучных)</w:t>
      </w:r>
      <w:r>
        <w:rPr>
          <w:rFonts w:cs="Times New Roman" w:ascii="Times New Roman" w:hAnsi="Times New Roman"/>
          <w:bCs/>
          <w:sz w:val="28"/>
          <w:szCs w:val="28"/>
        </w:rPr>
        <w:t xml:space="preserve"> и 27 254 мест проживания </w:t>
      </w:r>
      <w:r>
        <w:rPr>
          <w:rFonts w:cs="Times New Roman" w:ascii="Times New Roman" w:hAnsi="Times New Roman"/>
          <w:sz w:val="28"/>
          <w:szCs w:val="28"/>
        </w:rPr>
        <w:t xml:space="preserve">многодетных (АППГ-21 113). Группами профилактики посещено </w:t>
      </w:r>
      <w:r>
        <w:rPr>
          <w:rFonts w:cs="Times New Roman" w:ascii="Times New Roman" w:hAnsi="Times New Roman"/>
          <w:bCs/>
          <w:sz w:val="28"/>
          <w:szCs w:val="28"/>
        </w:rPr>
        <w:t xml:space="preserve">14 488 </w:t>
      </w:r>
      <w:r>
        <w:rPr>
          <w:rFonts w:cs="Times New Roman" w:ascii="Times New Roman" w:hAnsi="Times New Roman"/>
          <w:sz w:val="28"/>
          <w:szCs w:val="28"/>
        </w:rPr>
        <w:t xml:space="preserve">мест проживания малоимущих семей (АППГ-4395 неблагополучных) и </w:t>
      </w:r>
      <w:r>
        <w:rPr>
          <w:rFonts w:cs="Times New Roman" w:ascii="Times New Roman" w:hAnsi="Times New Roman"/>
          <w:bCs/>
          <w:sz w:val="28"/>
          <w:szCs w:val="28"/>
        </w:rPr>
        <w:t>16 197</w:t>
      </w:r>
      <w:r>
        <w:rPr>
          <w:rFonts w:cs="Times New Roman" w:ascii="Times New Roman" w:hAnsi="Times New Roman"/>
          <w:sz w:val="28"/>
          <w:szCs w:val="28"/>
        </w:rPr>
        <w:t xml:space="preserve"> мест проживания многодетных семей (АППГ-7231, рост в 2,2 раза).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предупреждения пожаров и гибели людей в жилом секторе обследовано 96 418 объектов жилого сектора, в том числе одноквартирных жилых домов – 74 396, многоквартирных – 22 022</w:t>
      </w:r>
      <w:r>
        <w:rPr>
          <w:rFonts w:cs="Times New Roman" w:ascii="Times New Roman" w:hAnsi="Times New Roman"/>
          <w:i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О мерах пожарной безопасности проинструктировано 333 836 граждан в жилом секторе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вручено памяток, листовок и другой наглядной агитации – 260 111.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информирования населения о мерах пожарной безопасности привлекались все средства массовой информации (печатные, электронные, а также терминальные комплексы системы ОКСИОН). </w:t>
      </w:r>
      <w:r>
        <w:rPr>
          <w:rFonts w:cs="Times New Roman" w:ascii="Times New Roman" w:hAnsi="Times New Roman"/>
          <w:spacing w:val="-4"/>
          <w:sz w:val="28"/>
          <w:szCs w:val="28"/>
        </w:rPr>
        <w:t>С начала года организовано выступлений на ТВ – 305, в печатных СМИ опубликовано - 947 материалов, на радио проведено 912 выступлений, на интернет-сайтах, сети инстаграм – 5575 материалов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через социальные сети и </w:t>
      </w:r>
      <w:r>
        <w:rPr>
          <w:rFonts w:cs="Times New Roman" w:ascii="Times New Roman" w:hAnsi="Times New Roman"/>
          <w:sz w:val="28"/>
          <w:szCs w:val="28"/>
        </w:rPr>
        <w:t>мессенджеры информационные материалы доставлены 847 458 абонентам.</w:t>
      </w:r>
    </w:p>
    <w:p>
      <w:pPr>
        <w:pStyle w:val="Normal"/>
        <w:shd w:val="clear" w:color="auto" w:fill="FFFFFF"/>
        <w:spacing w:lineRule="auto" w:line="276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  <w:t>Также одним из приоритетных направлений в профилактике пожаров остаётся реализация</w:t>
      </w:r>
      <w:r>
        <w:rPr>
          <w:rFonts w:cs="Times New Roman" w:ascii="Times New Roman" w:hAnsi="Times New Roman"/>
          <w:b/>
          <w:sz w:val="28"/>
          <w:szCs w:val="28"/>
          <w:highlight w:val="yellow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yellow"/>
        </w:rPr>
        <w:t>Комплексного плана дополнительных мероприятий по обеспечению пожарной безопасности на 2020-2024 годы. Одним из основных направлений работы в соответствии с планом является установка автономных дымовых пожарных извещателей (АДПИ) гражданам из социально незащищенных слоев населения.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76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  <w:t>……</w:t>
      </w:r>
      <w:r>
        <w:rPr>
          <w:rFonts w:cs="Times New Roman" w:ascii="Times New Roman" w:hAnsi="Times New Roman"/>
          <w:sz w:val="28"/>
          <w:szCs w:val="28"/>
          <w:highlight w:val="yellow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0" w:firstLine="709"/>
        <w:contextualSpacing/>
        <w:jc w:val="both"/>
        <w:outlineLvl w:val="2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Второе направление это - работа, осуществляемая в рамках сезонных профилактических мероприятий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распоряжением МЧС России от 10.10.2016 № 448 «О реализации мероприятий профилактических операций» на территории республики проводились сезонные профилактические операции: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>В рамках операции обеспечена подготовка и сопровождение деятельности объектов летнего отдыха детей. На территории республики взяты на учет 573 объекта летнего отдыха детей, из них: 489 - лагерей с дневным пребыванием, 42 - стационарных загородных учреждения, 2 - санаторно-оздоровительных детских лагеря, 40 - детских лагеря труда и отдыха. Органами ГПН проведены проверки объектов летнего отдыха детей, кроме этого проведено 200 обследований в рамках участия в межведомственных муниципальных комиссиях и принятия указанных объектов к оздоровительному сезону. Также проведены  инструктажи и беседы с персоналом лагерей, практические тренировки по эвакуации людей в случае возникновения пожара и чрезвычайной ситуации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концу операции в 3 районах республики на 7 объектах летнего отдыха детей имелись неустраненные нарушения обязательных требований пожарной безопасности, а именно: Верхнеколымском - 1, Усть-Янском - 5, городе Якутске - 2.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рамках операции органами государственного пожарного надзора проводились проверки и профилактические мероприятия учреждений образования, профилактические визиты, консультирование ответвленных и долностных лиц, практические тренировки по эвакуации людей, размещение наглядной агитации.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работы в межведомственных комиссиях по приемке образовательных учреждений к новому учебному году на 01 сентября 2021 г. в связи с наличием неустраненных нарушений требований пожарной безопасности не подписаны представителями органов ГПН акты готовности 11 образовательных учреждений: В Горном районе – 1, в Мегино-Кангаласском районе – 1, в Момском районе – 4, в Намском районе – 2, в Среднеколымском районе – 1, в Таттинском районе – 2. К концу года нарушения в указанных объектах устранены в полном объеме.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 рамках профилактической операции «Отопление», организованной с 22 сентября 2021 г. на территории Республики Саха (Якутия) проводедена профилактическая операция «Отопление». В ходе операции проведены  профилактические рейды, в том числе в жилье и на объектах социальной сферы. Распространено 26177 агитационных материалов по вопросам соблюдения мер пожарной безопасности и необходимых действий при обнаружении пожара. Проведено 627 профилактических визитов в отношении объектов теплоэнергетики и социальной сферы, отнесенных к категории чрезвычайно высокого, высокого и значительного риска.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в Республике Саха (Якутия) организован и реализуется комплекс превентивных мероприятий, направленных на защиту населённых пунктов, объектов и территорий от угрозы перехода природных пожаров.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Всего на территории республики расположено </w:t>
      </w:r>
      <w:r>
        <w:rPr>
          <w:rFonts w:cs="Times New Roman" w:ascii="Times New Roman" w:hAnsi="Times New Roman"/>
          <w:b/>
          <w:bCs/>
          <w:sz w:val="28"/>
          <w:szCs w:val="28"/>
        </w:rPr>
        <w:t>637</w:t>
      </w:r>
      <w:r>
        <w:rPr>
          <w:rFonts w:cs="Times New Roman" w:ascii="Times New Roman" w:hAnsi="Times New Roman"/>
          <w:sz w:val="28"/>
          <w:szCs w:val="28"/>
        </w:rPr>
        <w:t xml:space="preserve"> населенных пунктов. Согласно постановления Правительства Республики Саха (Якутия) №84 от 30.03.2021 «О мерах по защите населённых пунктов Республики Саха (Якутия), подверженных угрозе лесных пожаров в пожароопасный сезон 2021 года» утверждён Перечень, включающий </w:t>
      </w:r>
      <w:r>
        <w:rPr>
          <w:rFonts w:cs="Times New Roman" w:ascii="Times New Roman" w:hAnsi="Times New Roman"/>
          <w:b/>
          <w:sz w:val="28"/>
          <w:szCs w:val="28"/>
        </w:rPr>
        <w:t>334</w:t>
      </w:r>
      <w:r>
        <w:rPr>
          <w:rFonts w:cs="Times New Roman" w:ascii="Times New Roman" w:hAnsi="Times New Roman"/>
          <w:sz w:val="28"/>
          <w:szCs w:val="28"/>
        </w:rPr>
        <w:t xml:space="preserve"> населённых пункта, </w:t>
      </w:r>
      <w:r>
        <w:rPr>
          <w:rFonts w:cs="Times New Roman" w:ascii="Times New Roman" w:hAnsi="Times New Roman"/>
          <w:b/>
          <w:bCs/>
          <w:sz w:val="28"/>
          <w:szCs w:val="28"/>
        </w:rPr>
        <w:t>22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 xml:space="preserve">территории детских оздоровительных лагерей,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29</w:t>
      </w:r>
      <w:r>
        <w:rPr>
          <w:rFonts w:cs="Times New Roman" w:ascii="Times New Roman" w:hAnsi="Times New Roman"/>
          <w:iCs/>
          <w:sz w:val="28"/>
          <w:szCs w:val="28"/>
        </w:rPr>
        <w:t xml:space="preserve"> территорий садово-огороднических и дачных некоммерческих объединений граждан, подверженных угрозе лесных пожаров в пожароопасный сезон 2021 года.</w:t>
      </w:r>
    </w:p>
    <w:p>
      <w:pPr>
        <w:pStyle w:val="Style28"/>
        <w:spacing w:lineRule="auto" w:line="276" w:before="0" w:after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В 2021 году готовность населённых пунктов, подверженных угрозе перехода на них лесных пожаров проведена по следующим основаниям: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color w:val="000000"/>
          <w:sz w:val="28"/>
          <w:szCs w:val="28"/>
        </w:rPr>
        <w:t>Ежегодного плана проведения плановых проверок органов местного самоуправления на 2021 год;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>2) П</w:t>
      </w:r>
      <w:r>
        <w:rPr>
          <w:rFonts w:cs="Times New Roman" w:ascii="Times New Roman" w:hAnsi="Times New Roman"/>
          <w:sz w:val="28"/>
          <w:szCs w:val="28"/>
        </w:rPr>
        <w:t>оручения заместителя председателя Правительства Российской Федерации от 26.02.2021 года № ВА-П11-2285;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3) На основании ст.6.1 Федерального закона РФ от 21.12.1994 № 69-ФЗ «О пожарной безопасности».</w:t>
      </w:r>
    </w:p>
    <w:p>
      <w:pPr>
        <w:pStyle w:val="Normal"/>
        <w:shd w:val="clear" w:color="auto" w:fill="FFFFFF"/>
        <w:spacing w:lineRule="auto" w:line="276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результатам проведённых проверок на территории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муниципальных районах и ГО «город Якутск» в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221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населённых пунктах выявлено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528 </w:t>
      </w:r>
      <w:r>
        <w:rPr>
          <w:rFonts w:cs="Times New Roman" w:ascii="Times New Roman" w:hAnsi="Times New Roman"/>
          <w:color w:val="000000"/>
          <w:sz w:val="28"/>
          <w:szCs w:val="28"/>
        </w:rPr>
        <w:t>нарушений обязательных требований пожарной безопасности.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(В 2020 году по результатам проведённых проверок в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61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населённом пункте установлено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126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 пожарной безопасности).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проверок, в отношении </w:t>
      </w:r>
      <w:r>
        <w:rPr>
          <w:rFonts w:ascii="Times New Roman" w:hAnsi="Times New Roman"/>
          <w:b/>
          <w:bCs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юридических лиц (АППГ-5) и </w:t>
      </w:r>
      <w:r>
        <w:rPr>
          <w:rFonts w:ascii="Times New Roman" w:hAnsi="Times New Roman"/>
          <w:b/>
          <w:bCs/>
          <w:sz w:val="28"/>
          <w:szCs w:val="28"/>
        </w:rPr>
        <w:t xml:space="preserve">161 </w:t>
      </w:r>
      <w:r>
        <w:rPr>
          <w:rFonts w:ascii="Times New Roman" w:hAnsi="Times New Roman"/>
          <w:sz w:val="28"/>
          <w:szCs w:val="28"/>
        </w:rPr>
        <w:t>должностного лица (АППГ-57) органов местного самоуправления, допустивших нарушения требований пожарной безопасности возбуждены административные дела. Главам администраций муниципальных образований вручены предписания об устранении нарушений обязательных требований.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Проверки исполнения предписаний проведены в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221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населённом пункте (а также 74 повторные внеплановые проверки по истечению сроков предписания). В ходе проверок установлено, что на конец 2021 года в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137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населённых пунктах ранее выявленные правонарушения устранены в полном объёме.</w:t>
      </w:r>
    </w:p>
    <w:p>
      <w:pPr>
        <w:pStyle w:val="ListParagraph"/>
        <w:spacing w:lineRule="auto" w:line="276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проведённых проверок исполнения предписаний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b/>
          <w:bCs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 xml:space="preserve"> юридических лиц и </w:t>
      </w:r>
      <w:r>
        <w:rPr>
          <w:rFonts w:ascii="Times New Roman" w:hAnsi="Times New Roman"/>
          <w:b/>
          <w:bCs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должностных лиц органов местного самоуправления составлены административные материалы </w:t>
      </w:r>
      <w:r>
        <w:rPr>
          <w:rFonts w:ascii="Times New Roman" w:hAnsi="Times New Roman"/>
          <w:b/>
          <w:sz w:val="28"/>
          <w:szCs w:val="28"/>
        </w:rPr>
        <w:t>по фактам невыполнения</w:t>
      </w:r>
      <w:r>
        <w:rPr>
          <w:rFonts w:ascii="Times New Roman" w:hAnsi="Times New Roman"/>
          <w:sz w:val="28"/>
          <w:szCs w:val="28"/>
        </w:rPr>
        <w:t xml:space="preserve"> предписаний. </w:t>
      </w:r>
      <w:bookmarkStart w:id="27" w:name="_Hlk79744455"/>
      <w:bookmarkEnd w:id="27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состоянию на 30.12.2021 года осталось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84 </w:t>
      </w:r>
      <w:r>
        <w:rPr>
          <w:rFonts w:cs="Times New Roman" w:ascii="Times New Roman" w:hAnsi="Times New Roman"/>
          <w:sz w:val="28"/>
          <w:szCs w:val="28"/>
        </w:rPr>
        <w:t>населённых пункта, примыкающих к лесным массивам, в которых не выполнено 127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нарушений требований пожарной безопасности.</w:t>
      </w:r>
    </w:p>
    <w:p>
      <w:pPr>
        <w:pStyle w:val="ListParagraph"/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нарушениями требований пожарной безопасности остаются: </w:t>
      </w:r>
    </w:p>
    <w:p>
      <w:pPr>
        <w:pStyle w:val="ListParagraph"/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-в </w:t>
      </w:r>
      <w:r>
        <w:rPr>
          <w:rFonts w:ascii="Times New Roman" w:hAnsi="Times New Roman"/>
          <w:b/>
          <w:bCs/>
          <w:sz w:val="28"/>
          <w:szCs w:val="28"/>
          <w:lang w:val="sah-RU"/>
        </w:rPr>
        <w:t>73</w:t>
      </w:r>
      <w:r>
        <w:rPr>
          <w:rFonts w:ascii="Times New Roman" w:hAnsi="Times New Roman"/>
          <w:sz w:val="28"/>
          <w:szCs w:val="28"/>
          <w:lang w:val="sah-RU"/>
        </w:rPr>
        <w:t xml:space="preserve"> населённых пунктах </w:t>
      </w:r>
      <w:r>
        <w:rPr>
          <w:rFonts w:ascii="Times New Roman" w:hAnsi="Times New Roman"/>
          <w:bCs/>
          <w:sz w:val="28"/>
          <w:szCs w:val="28"/>
          <w:lang w:val="sah-RU"/>
        </w:rPr>
        <w:t>не организовано обустройство противопожарных  минерализованных полос вокруг населённых пунктов</w:t>
      </w:r>
      <w:r>
        <w:rPr>
          <w:rFonts w:ascii="Times New Roman" w:hAnsi="Times New Roman"/>
          <w:sz w:val="28"/>
          <w:szCs w:val="28"/>
          <w:lang w:val="sah-RU"/>
        </w:rPr>
        <w:t xml:space="preserve">; </w:t>
      </w:r>
    </w:p>
    <w:p>
      <w:pPr>
        <w:pStyle w:val="ListParagraph"/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   </w:t>
      </w:r>
      <w:r>
        <w:rPr>
          <w:rFonts w:ascii="Times New Roman" w:hAnsi="Times New Roman"/>
          <w:sz w:val="28"/>
          <w:szCs w:val="28"/>
          <w:lang w:val="sah-RU"/>
        </w:rPr>
        <w:t xml:space="preserve">-в </w:t>
      </w:r>
      <w:r>
        <w:rPr>
          <w:rFonts w:ascii="Times New Roman" w:hAnsi="Times New Roman"/>
          <w:b/>
          <w:bCs/>
          <w:sz w:val="28"/>
          <w:szCs w:val="28"/>
          <w:lang w:val="sah-RU"/>
        </w:rPr>
        <w:t>32</w:t>
      </w:r>
      <w:r>
        <w:rPr>
          <w:rFonts w:ascii="Times New Roman" w:hAnsi="Times New Roman"/>
          <w:sz w:val="28"/>
          <w:szCs w:val="28"/>
          <w:lang w:val="sah-RU"/>
        </w:rPr>
        <w:t xml:space="preserve"> населённых пунктах нарушено обустройство противопожарного расстояния на протяженности границы населённого пункта с лесным участком; </w:t>
      </w:r>
    </w:p>
    <w:p>
      <w:pPr>
        <w:pStyle w:val="ListParagraph"/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   </w:t>
      </w:r>
      <w:r>
        <w:rPr>
          <w:rFonts w:ascii="Times New Roman" w:hAnsi="Times New Roman"/>
          <w:sz w:val="28"/>
          <w:szCs w:val="28"/>
          <w:lang w:val="sah-RU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населённых пунктах отсутствует, либо не обеспечено исправное состояние наружного противопожарного водоснабжения; </w:t>
      </w:r>
    </w:p>
    <w:p>
      <w:pPr>
        <w:pStyle w:val="ListParagraph"/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населённых пунктах не обеспечено исправное состояние звуковой системы оповещения населения о чрезвычайной ситуации.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8" w:name="_Hlk91662770"/>
      <w:bookmarkStart w:id="29" w:name="_Hlk91662770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2021 году Главным управлением было взято на учет 1411 объектов проведения новогодних и рождественских мероприятий с массовым пребыванием людей, в том числе 36 объектов хранения и реализации пиротехнической продукции, задействованных в мероприятиях с массовым пребыванием детей.</w:t>
      </w:r>
      <w:bookmarkStart w:id="30" w:name="_Hlk91662348"/>
      <w:bookmarkEnd w:id="30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91662770"/>
      <w:r>
        <w:rPr>
          <w:rFonts w:cs="Times New Roman" w:ascii="Times New Roman" w:hAnsi="Times New Roman"/>
          <w:sz w:val="28"/>
          <w:szCs w:val="28"/>
        </w:rPr>
        <w:t>В целях повышения уровня безопасности объектов, задействованных в проведении новогодних и рождественских мероприятий на территории республики</w:t>
      </w:r>
      <w:bookmarkEnd w:id="31"/>
      <w:r>
        <w:rPr>
          <w:rFonts w:cs="Times New Roman" w:ascii="Times New Roman" w:hAnsi="Times New Roman"/>
          <w:sz w:val="28"/>
          <w:szCs w:val="28"/>
        </w:rPr>
        <w:t xml:space="preserve"> проведены профилактические визиты, консультирование должностных и ответственных лиц о требованиях пожарной безопасности, практические тренировки по эвакуации людей в случае возникновения пожара, размещены наглядные агитации по вопросам соблюдения мер пожарной безопасности, выступления в средствах массовой информации, объявлено 16 предостережений о недопустимости нарушений обязательных требований пожарной безопасности.</w:t>
      </w:r>
      <w:bookmarkStart w:id="32" w:name="_Hlk91662633"/>
      <w:bookmarkEnd w:id="32"/>
    </w:p>
    <w:p>
      <w:pPr>
        <w:pStyle w:val="ListParagraph"/>
        <w:spacing w:lineRule="auto" w:line="276" w:before="0" w:after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на контроле находилось 110 площадок запуска пиротехнических изделий в 24 районах республики и городе Якутске.</w:t>
      </w:r>
    </w:p>
    <w:p>
      <w:pPr>
        <w:pStyle w:val="Normal"/>
        <w:spacing w:lineRule="auto" w:line="276" w:before="0" w:after="0"/>
        <w:jc w:val="both"/>
        <w:rPr>
          <w:rStyle w:val="FontStyle24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41"/>
        <w:widowControl/>
        <w:spacing w:lineRule="auto" w:line="276" w:before="19" w:after="0"/>
        <w:ind w:firstLine="566"/>
        <w:jc w:val="both"/>
        <w:rPr>
          <w:rStyle w:val="FontStyle24"/>
          <w:b/>
          <w:b/>
          <w:sz w:val="28"/>
          <w:szCs w:val="28"/>
        </w:rPr>
      </w:pPr>
      <w:r>
        <w:rPr>
          <w:rStyle w:val="FontStyle24"/>
          <w:b/>
          <w:sz w:val="28"/>
          <w:szCs w:val="28"/>
        </w:rPr>
        <w:t>6. Осуществление федерального государственного пожарного надзора</w:t>
      </w:r>
    </w:p>
    <w:p>
      <w:pPr>
        <w:pStyle w:val="Style141"/>
        <w:widowControl/>
        <w:spacing w:lineRule="auto" w:line="276" w:before="19" w:after="0"/>
        <w:ind w:firstLine="566"/>
        <w:jc w:val="both"/>
        <w:rPr>
          <w:rStyle w:val="FontStyle24"/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требованиями подпункта а пункта 8 Положения о федеральном государственном пожарном надзоре, утверждённого постановлением Правительства РФ от 12 апреля 2012 № 290, в 2021 году по состоянию на 15 августа в органах надзорной деятельности республики находится на учёте 24 944 объектов защиты (надзора), из них по категориям риска: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чрезвычайно высокого риска – 349 (АППГ-1051);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высокого риска – 1969 (АППГ-987);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значительного риска – 3641 (АППГ-1878);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среднего риска – 2112;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умеренного риска – 16873;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низкого риска – 124777 объектов защиты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За 2021 год органами надзорной деятельности проведено 2302 контольно-надзорных мероприятий в отношении юридических лиц и индивидуальных предпринимателей (АППГ – 1413, рост на 62,9 %), в том числе:</w:t>
      </w:r>
    </w:p>
    <w:p>
      <w:pPr>
        <w:pStyle w:val="Normal"/>
        <w:tabs>
          <w:tab w:val="clear" w:pos="708"/>
          <w:tab w:val="left" w:pos="851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1129 плановых (49 %) (АППГ – 781, рост на 44,6%);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1173 внеплановых (51 %), из них: 1011 - по истечению срока исполнения предписаний; 83 – в соответствии с требованием прокурора о проведении внеплановой проверки в рамках надзора за исполнением законов; 25 – в связи с поступлением в органы ГПН информации об угрозе причинения вреда жизни, здоровью граждан; </w:t>
      </w:r>
      <w:r>
        <w:rPr>
          <w:rFonts w:cs="Times New Roman" w:ascii="Times New Roman" w:hAnsi="Times New Roman"/>
          <w:color w:val="000000"/>
          <w:sz w:val="28"/>
          <w:szCs w:val="28"/>
        </w:rPr>
        <w:t>54 – изданного распоряжения органами государственного пожарного надзора в соответствии с поручениями Президента Российской Федерации, Правительства Российской Федерации.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Доля проведённых плановых КНМ в области пожарной безопасности, проведённых на объектах надзора, отнесённых к категории чрезвычайно высокого риска составила – 21,9 %, высокого – 27,8 %, значительного – 40,7 %, среднего – 5,5 % и умеренного риска – 4,1 % от общего количества плановых КНМ объектов надзора, отнесённых к данным категориям риска.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Степень реализации плана плановых КНМ в области пожарной безопасности составила 100 % АППГ (100 %). </w:t>
      </w:r>
    </w:p>
    <w:p>
      <w:pPr>
        <w:pStyle w:val="Style28"/>
        <w:tabs>
          <w:tab w:val="clear" w:pos="708"/>
          <w:tab w:val="left" w:pos="540" w:leader="none"/>
        </w:tabs>
        <w:spacing w:lineRule="auto" w:line="276" w:before="0" w:after="0"/>
        <w:ind w:left="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>
      <w:pPr>
        <w:pStyle w:val="ListParagraph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Статистика типовых и массовых нарушений требований пожарной безопасности выявленных в ходе проверочных мероприятий (плановых проверок)</w:t>
      </w:r>
    </w:p>
    <w:p>
      <w:pPr>
        <w:pStyle w:val="Normal"/>
        <w:spacing w:lineRule="auto" w:line="240" w:before="0" w:after="16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 xml:space="preserve">В целях более полной оценки противопожарного состояния объектов, полученных в результате правоприменительной деятельности приведена статистику </w:t>
      </w:r>
      <w:bookmarkStart w:id="33" w:name="_Toc478730251"/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типовых и массовых нарушений обязательных требований пожарной безопасности на объектах защиты.</w:t>
      </w:r>
      <w:bookmarkEnd w:id="33"/>
    </w:p>
    <w:p>
      <w:pPr>
        <w:pStyle w:val="ListParagraph"/>
        <w:shd w:val="clear" w:color="auto" w:fill="FFFFFF"/>
        <w:spacing w:lineRule="auto" w:line="276"/>
        <w:ind w:left="22" w:firstLine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общей сложности территориальными отделами надзорной деятельности и профилактической работы управления надзорной деятельности и профилактической работы Главного управления МЧС России по Республике Саха (Якутия)  в рамках проведения проверок было выявлено 7919 нарушений требований пожарной безопасности.</w:t>
      </w:r>
    </w:p>
    <w:p>
      <w:pPr>
        <w:pStyle w:val="ListParagraph"/>
        <w:shd w:val="clear" w:color="auto" w:fill="FFFFFF"/>
        <w:spacing w:lineRule="auto" w:line="276"/>
        <w:ind w:left="22" w:firstLine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по типам, выявленных нарушений требований пожарной безопасности, а также их количество, представлены в таблице № 1:</w:t>
      </w:r>
    </w:p>
    <w:p>
      <w:pPr>
        <w:pStyle w:val="ListParagraph"/>
        <w:shd w:val="clear" w:color="auto" w:fill="FFFFFF"/>
        <w:spacing w:lineRule="auto" w:line="276"/>
        <w:ind w:left="22" w:firstLine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hd w:val="clear" w:color="auto" w:fill="FFFFFF"/>
        <w:spacing w:lineRule="auto" w:line="276"/>
        <w:ind w:left="22" w:firstLine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03" w:type="dxa"/>
        <w:jc w:val="left"/>
        <w:tblInd w:w="6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75"/>
        <w:gridCol w:w="1079"/>
        <w:gridCol w:w="1137"/>
        <w:gridCol w:w="1281"/>
        <w:gridCol w:w="1284"/>
        <w:gridCol w:w="1002"/>
        <w:gridCol w:w="1244"/>
      </w:tblGrid>
      <w:tr>
        <w:trPr>
          <w:trHeight w:val="375" w:hRule="atLeast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9" w:type="dxa"/>
            <w:tcBorders>
              <w:bottom w:val="single" w:sz="8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Чрезвычайно высокого риска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Высокого риска</w:t>
            </w:r>
          </w:p>
        </w:tc>
        <w:tc>
          <w:tcPr>
            <w:tcW w:w="1284" w:type="dxa"/>
            <w:tcBorders>
              <w:bottom w:val="single" w:sz="8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Значительного риска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Среднего риска</w:t>
            </w:r>
          </w:p>
        </w:tc>
        <w:tc>
          <w:tcPr>
            <w:tcW w:w="1244" w:type="dxa"/>
            <w:tcBorders>
              <w:bottom w:val="single" w:sz="8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Умеренного риска</w:t>
            </w:r>
          </w:p>
        </w:tc>
      </w:tr>
      <w:tr>
        <w:trPr>
          <w:trHeight w:val="1051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Всего выявлено нарушений требований пожарной безопасности по результатам проведения плановых проверок, в том числе, связанных с: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5162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1998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1714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304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327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возможной причиной возникновения пожара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обеспечением безопасности людей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4084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1643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1231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262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275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ограничением распространения пожара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153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217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созданием условий для успешного тушения пожара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115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115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производством и реализацией продукции, подлежащей обязательному подтверждению соответствию требованиям пожарной безопасности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Выявлено нарушений требований пожарной безопасности по результатам проведения внеплановых выездных проверок, в том числе, связанных с: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2757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190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возможной причиной возникновения пожара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обеспечением безопасности людей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764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314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ограничением распространения пожара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trHeight w:val="439" w:hRule="atLeast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созданием условий для успешного тушения пожара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D8D8D8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представленных статистических сведений следует, что основными нарушениями требований пожарной безопасности, выявляемыми государственными инспекторами по пожарному надзору на территории республики являются:</w:t>
      </w:r>
    </w:p>
    <w:p>
      <w:pPr>
        <w:pStyle w:val="Normal"/>
        <w:shd w:val="clear" w:color="auto" w:fill="FFFFFF"/>
        <w:spacing w:lineRule="auto" w:line="276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требований пожарной безопасности связанные с обеспечением безопасности людей – 6212, что составляет 78,4 % от общего числа нарушений требований пожарной безопасности;</w:t>
      </w:r>
    </w:p>
    <w:p>
      <w:pPr>
        <w:pStyle w:val="Normal"/>
        <w:shd w:val="clear" w:color="auto" w:fill="FFFFFF"/>
        <w:spacing w:lineRule="auto" w:line="276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требований пожарной безопасности, которые влияют на ограничение распространение пожара – 810, что составляет 10,2 % от общего числа нарушений требований пожарной безопасности;</w:t>
      </w:r>
    </w:p>
    <w:p>
      <w:pPr>
        <w:pStyle w:val="Normal"/>
        <w:shd w:val="clear" w:color="auto" w:fill="FFFFFF"/>
        <w:spacing w:lineRule="auto" w:line="276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требований пожарной безопасности, связанные с созданием условий для успешного тушения пожаров - 631, что составляет 7,9 % от общего числа нарушений требований пожарной безопасности;</w:t>
      </w:r>
    </w:p>
    <w:p>
      <w:pPr>
        <w:pStyle w:val="Normal"/>
        <w:shd w:val="clear" w:color="auto" w:fill="FFFFFF"/>
        <w:spacing w:lineRule="auto" w:line="276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требований пожарной безопасности, способствующие возникновению пожаров – 423, что составляет 5,3 % от общего числа нарушений требований пожарной безопасности.</w:t>
      </w:r>
    </w:p>
    <w:p>
      <w:pPr>
        <w:pStyle w:val="Normal"/>
        <w:shd w:val="clear" w:color="auto" w:fill="FFFFFF"/>
        <w:spacing w:lineRule="auto" w:line="276" w:before="0"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Анализ показывает, что по-прежнему основной причиной наличия нарушений требований пожарной безопасности на объектах защиты, является высокий уровень издержек по соблюдению указанных требований. </w:t>
      </w:r>
      <w:bookmarkStart w:id="34" w:name="_Toc478720923"/>
      <w:bookmarkStart w:id="35" w:name="_Toc478720530"/>
      <w:bookmarkStart w:id="36" w:name="_Toc478717984"/>
      <w:bookmarkStart w:id="37" w:name="_Toc478717769"/>
      <w:bookmarkStart w:id="38" w:name="_Toc478717687"/>
      <w:bookmarkStart w:id="39" w:name="_Toc478717244"/>
      <w:bookmarkStart w:id="40" w:name="_Toc47684120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pStyle w:val="Normal"/>
        <w:shd w:val="clear" w:color="auto" w:fill="FFFFFF"/>
        <w:spacing w:lineRule="auto" w:line="276" w:before="0" w:after="16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76" w:before="0" w:after="160"/>
        <w:ind w:firstLine="708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8. Нормативно-техническая деятельность</w:t>
      </w:r>
    </w:p>
    <w:p>
      <w:pPr>
        <w:pStyle w:val="Normal"/>
        <w:shd w:val="clear" w:color="auto" w:fill="FFFFFF"/>
        <w:spacing w:lineRule="auto" w:line="276" w:before="0"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567" w:leader="none"/>
        </w:tabs>
        <w:spacing w:lineRule="auto" w:line="276"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На территории Республики Саха (Якутия) осуществляют деятельность подлежащую лицензированию в области пожарной безопасности 313 (АППГ - 300) организации различных форм собственности, из них по виду «Тушение пожаров в населенных пунктах, на производственных объектах и объектах инфраструктуры» - 20 (АППГ - 20), по виду «Монтаж, техническое обслуживание и ремонт средств обеспечения пожарной безопасности зданий и сооружений» - 293 (АППГ - 280).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За </w:t>
      </w:r>
      <w:r>
        <w:rPr>
          <w:rFonts w:cs="Times New Roman" w:ascii="Times New Roman" w:hAnsi="Times New Roman"/>
          <w:sz w:val="26"/>
          <w:szCs w:val="26"/>
        </w:rPr>
        <w:t>2021</w:t>
      </w:r>
      <w:r>
        <w:rPr>
          <w:rFonts w:cs="Times New Roman" w:ascii="Times New Roman" w:hAnsi="Times New Roman"/>
          <w:sz w:val="26"/>
          <w:szCs w:val="26"/>
        </w:rPr>
        <w:t xml:space="preserve"> год управлением надзорной деятельности и профилактической работы и территориальными подразделениями плановых и внеплановых проверок лицензиатов осуществляющих деятельность в области пожарной безопасности  не проведено. 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Протоколы об административном правонарушении за нарушение требований пожарной безопасности по части 4 статьи 14.1 КоАП РФ, а также по части 12 статьи 19.5 КоАП РФ соответственно не составлялись.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За истекший период материалы для принятия решения о приостановке лицензии не направлялись.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По итогам 2021 года управлением надзорной деятельности и профилактической работы Главного управления МЧС России по Республике Саха (Якутия) рассмотрено 2 поручения о проведении внеплановых выездных проверок в целях оценки соответствия соискателя лицензии (лицензиатов) лицензионным требованиям (по поручению ГУ МЧС России ХМАО-1, ГУ МЧС России по Иркутской области – 1, АППГ - 4).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За истекший период зарегистрировано 450 деклараций пожарной безопасности (АППГ – 248, рост на 81,5%). Отказано в регистрации деклараций пожарной безопасности — 2 (АППГ – 0).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Выявлено фактов отсутствия зарегистрированных деклараций пожарной безопасности по результатам проведения плановых проверок 20 (АППГ – 39, снижение на 48,7%). </w:t>
      </w:r>
    </w:p>
    <w:p>
      <w:pPr>
        <w:pStyle w:val="BodyTextIndent2"/>
        <w:tabs>
          <w:tab w:val="clear" w:pos="708"/>
          <w:tab w:val="left" w:pos="567" w:leader="none"/>
        </w:tabs>
        <w:spacing w:lineRule="auto" w:line="276" w:before="0" w:after="0"/>
        <w:ind w:left="0" w:firstLine="567"/>
        <w:contextualSpacing/>
        <w:jc w:val="both"/>
        <w:rPr/>
      </w:pPr>
      <w:r>
        <w:rPr>
          <w:sz w:val="26"/>
          <w:szCs w:val="26"/>
        </w:rPr>
        <w:t>Территориальными подразделениями Управления надзорной деятельности Главного управления МЧС России по Республике Саха (Якутия) выдано 2 заключени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  <w:r>
        <w:rPr>
          <w:sz w:val="26"/>
          <w:szCs w:val="26"/>
        </w:rPr>
        <w:t xml:space="preserve"> о соответствии объектов защиты требованиям пожарной безопасности (АППГ – 26, снижение на 92,3%).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В 2021 году нормативно – техническим советом Главного управления рассмотрено 2 специальные технические условия (АППГ – 1) (Застройка квартала 112 г. Якутска (1 очередь). Два жилых дома с торговым комплексом), направлено на доработку 1 (АППГ – 1).</w:t>
      </w:r>
    </w:p>
    <w:p>
      <w:pPr>
        <w:pStyle w:val="Normal"/>
        <w:spacing w:lineRule="auto" w:line="276" w:before="0" w:after="0"/>
        <w:ind w:firstLine="567"/>
        <w:jc w:val="both"/>
        <w:rPr/>
      </w:pPr>
      <w:bookmarkStart w:id="41" w:name="_Toc487534966"/>
      <w:bookmarkStart w:id="42" w:name="_Toc487536441"/>
      <w:bookmarkEnd w:id="41"/>
      <w:bookmarkEnd w:id="42"/>
      <w:r>
        <w:rPr>
          <w:rFonts w:eastAsia="Times New Roman" w:cs="Times New Roman" w:ascii="Times New Roman" w:hAnsi="Times New Roman"/>
          <w:sz w:val="26"/>
          <w:szCs w:val="26"/>
        </w:rPr>
        <w:t>На территории Республики за отчетный период текущего года всего аттестованных экспертов 3, всего принято заключений независимой оценки риска 96 (АППГ – 77), на бумажном носителе 92 (АППГ – 77).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3" w:name="_Hlk487096287"/>
      <w:bookmarkStart w:id="44" w:name="_Hlk496866871"/>
      <w:bookmarkStart w:id="45" w:name="_Hlk513714298"/>
      <w:bookmarkStart w:id="46" w:name="_Hlk487096287"/>
      <w:bookmarkStart w:id="47" w:name="_Hlk496866871"/>
      <w:bookmarkStart w:id="48" w:name="_Hlk513714298"/>
      <w:bookmarkEnd w:id="46"/>
      <w:bookmarkEnd w:id="47"/>
      <w:bookmarkEnd w:id="48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/>
      </w:r>
    </w:p>
    <w:sectPr>
      <w:headerReference w:type="default" r:id="rId15"/>
      <w:type w:val="nextPage"/>
      <w:pgSz w:w="11906" w:h="16838"/>
      <w:pgMar w:left="1418" w:right="567" w:header="709" w:top="1134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0390730"/>
    </w:sdtPr>
    <w:sdtContent>
      <w:p>
        <w:pPr>
          <w:pStyle w:val="Style25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false"/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uiPriority="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76a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2a12c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7a5938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0"/>
    <w:unhideWhenUsed/>
    <w:qFormat/>
    <w:rsid w:val="00cd617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unhideWhenUsed/>
    <w:qFormat/>
    <w:rsid w:val="00cd6179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6">
    <w:name w:val="Heading 6"/>
    <w:basedOn w:val="Normal"/>
    <w:next w:val="Normal"/>
    <w:link w:val="60"/>
    <w:qFormat/>
    <w:rsid w:val="00eb0624"/>
    <w:pPr>
      <w:keepNext w:val="true"/>
      <w:overflowPunct w:val="true"/>
      <w:spacing w:lineRule="auto" w:line="240" w:before="0" w:after="0"/>
      <w:ind w:left="284" w:right="425" w:hanging="0"/>
      <w:jc w:val="center"/>
      <w:textAlignment w:val="baseline"/>
      <w:outlineLvl w:val="5"/>
    </w:pPr>
    <w:rPr>
      <w:rFonts w:ascii="Times New Roman" w:hAnsi="Times New Roman" w:eastAsia="Times New Roman" w:cs="Times New Roman"/>
      <w:b/>
      <w:bCs/>
      <w:iCs/>
      <w:color w:val="FF0000"/>
      <w:spacing w:val="-2"/>
      <w:sz w:val="32"/>
      <w:szCs w:val="20"/>
      <w:lang w:eastAsia="ru-RU"/>
    </w:rPr>
  </w:style>
  <w:style w:type="paragraph" w:styleId="7">
    <w:name w:val="Heading 7"/>
    <w:basedOn w:val="Normal"/>
    <w:next w:val="Normal"/>
    <w:link w:val="70"/>
    <w:qFormat/>
    <w:rsid w:val="00eb0624"/>
    <w:pPr>
      <w:keepNext w:val="true"/>
      <w:overflowPunct w:val="true"/>
      <w:spacing w:lineRule="auto" w:line="240" w:before="0" w:after="0"/>
      <w:ind w:left="284" w:right="425" w:hanging="0"/>
      <w:jc w:val="center"/>
      <w:textAlignment w:val="baseline"/>
      <w:outlineLvl w:val="6"/>
    </w:pPr>
    <w:rPr>
      <w:rFonts w:ascii="Times New Roman" w:hAnsi="Times New Roman" w:eastAsia="Times New Roman" w:cs="Times New Roman"/>
      <w:b/>
      <w:bCs/>
      <w:i/>
      <w:iCs/>
      <w:color w:val="FF0000"/>
      <w:spacing w:val="-2"/>
      <w:sz w:val="32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3"/>
    <w:uiPriority w:val="99"/>
    <w:qFormat/>
    <w:rsid w:val="006356cd"/>
    <w:rPr/>
  </w:style>
  <w:style w:type="character" w:styleId="Style9" w:customStyle="1">
    <w:name w:val="Нижний колонтитул Знак"/>
    <w:basedOn w:val="DefaultParagraphFont"/>
    <w:link w:val="a5"/>
    <w:uiPriority w:val="99"/>
    <w:qFormat/>
    <w:rsid w:val="006356cd"/>
    <w:rPr/>
  </w:style>
  <w:style w:type="character" w:styleId="FontStyle14" w:customStyle="1">
    <w:name w:val="Font Style14"/>
    <w:uiPriority w:val="99"/>
    <w:qFormat/>
    <w:rsid w:val="00762b01"/>
    <w:rPr>
      <w:rFonts w:ascii="Times New Roman" w:hAnsi="Times New Roman"/>
      <w:sz w:val="26"/>
    </w:rPr>
  </w:style>
  <w:style w:type="character" w:styleId="Style10">
    <w:name w:val="Интернет-ссылка"/>
    <w:rsid w:val="000319b9"/>
    <w:rPr>
      <w:rFonts w:cs="Times New Roman"/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cd6179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cd6179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Style11">
    <w:name w:val="Выделение"/>
    <w:basedOn w:val="DefaultParagraphFont"/>
    <w:qFormat/>
    <w:rsid w:val="00cd6179"/>
    <w:rPr>
      <w:i/>
      <w:iCs/>
    </w:rPr>
  </w:style>
  <w:style w:type="character" w:styleId="Strong">
    <w:name w:val="Strong"/>
    <w:uiPriority w:val="99"/>
    <w:qFormat/>
    <w:rsid w:val="002d2800"/>
    <w:rPr>
      <w:rFonts w:cs="Times New Roman"/>
      <w:b/>
      <w:bCs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5d6cb8"/>
    <w:rPr>
      <w:color w:val="808080"/>
      <w:shd w:fill="E6E6E6" w:val="clear"/>
    </w:rPr>
  </w:style>
  <w:style w:type="character" w:styleId="12" w:customStyle="1">
    <w:name w:val="Заголовок 1 Знак"/>
    <w:basedOn w:val="DefaultParagraphFont"/>
    <w:link w:val="1"/>
    <w:qFormat/>
    <w:rsid w:val="002a12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ee72cf"/>
    <w:rPr>
      <w:color w:val="954F72" w:themeColor="followedHyperlink"/>
      <w:u w:val="single"/>
    </w:rPr>
  </w:style>
  <w:style w:type="character" w:styleId="Style13" w:customStyle="1">
    <w:name w:val="Текст выноски Знак"/>
    <w:basedOn w:val="DefaultParagraphFont"/>
    <w:link w:val="ad"/>
    <w:uiPriority w:val="99"/>
    <w:semiHidden/>
    <w:qFormat/>
    <w:rsid w:val="000126bd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a5938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5c1bb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Название Знак"/>
    <w:basedOn w:val="DefaultParagraphFont"/>
    <w:link w:val="af"/>
    <w:qFormat/>
    <w:rsid w:val="005c1b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FontStyle12" w:customStyle="1">
    <w:name w:val="Font Style12"/>
    <w:qFormat/>
    <w:rsid w:val="00c21573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qFormat/>
    <w:rsid w:val="00c21573"/>
    <w:rPr>
      <w:rFonts w:ascii="Times New Roman" w:hAnsi="Times New Roman" w:cs="Times New Roman"/>
      <w:sz w:val="26"/>
      <w:szCs w:val="26"/>
    </w:rPr>
  </w:style>
  <w:style w:type="character" w:styleId="Style15" w:customStyle="1">
    <w:name w:val="Основной текст с отступом Знак"/>
    <w:basedOn w:val="DefaultParagraphFont"/>
    <w:link w:val="af1"/>
    <w:qFormat/>
    <w:rsid w:val="00cf4b63"/>
    <w:rPr>
      <w:rFonts w:ascii="Calibri" w:hAnsi="Calibri" w:eastAsia="Times New Roman" w:cs="Times New Roman"/>
      <w:sz w:val="24"/>
      <w:szCs w:val="24"/>
      <w:lang w:val="en-US" w:bidi="en-US"/>
    </w:rPr>
  </w:style>
  <w:style w:type="character" w:styleId="Style16" w:customStyle="1">
    <w:name w:val="Основной текст Знак"/>
    <w:basedOn w:val="DefaultParagraphFont"/>
    <w:link w:val="af3"/>
    <w:uiPriority w:val="99"/>
    <w:semiHidden/>
    <w:qFormat/>
    <w:rsid w:val="0051565a"/>
    <w:rPr/>
  </w:style>
  <w:style w:type="character" w:styleId="Style17" w:customStyle="1">
    <w:name w:val="Без интервала Знак"/>
    <w:link w:val="af5"/>
    <w:uiPriority w:val="1"/>
    <w:qFormat/>
    <w:locked/>
    <w:rsid w:val="001d72e0"/>
    <w:rPr>
      <w:rFonts w:ascii="Calibri" w:hAnsi="Calibri" w:eastAsia="Times New Roman" w:cs="Times New Roman"/>
      <w:lang w:eastAsia="ru-RU"/>
    </w:rPr>
  </w:style>
  <w:style w:type="character" w:styleId="Style18" w:customStyle="1">
    <w:name w:val="Основной текст_"/>
    <w:basedOn w:val="DefaultParagraphFont"/>
    <w:link w:val="12"/>
    <w:qFormat/>
    <w:rsid w:val="001d72e0"/>
    <w:rPr>
      <w:sz w:val="23"/>
      <w:szCs w:val="23"/>
      <w:shd w:fill="FFFFFF" w:val="clear"/>
    </w:rPr>
  </w:style>
  <w:style w:type="character" w:styleId="FontStyle24" w:customStyle="1">
    <w:name w:val="Font Style24"/>
    <w:uiPriority w:val="99"/>
    <w:qFormat/>
    <w:rsid w:val="0068235b"/>
    <w:rPr>
      <w:rFonts w:ascii="Times New Roman" w:hAnsi="Times New Roman" w:cs="Times New Roman"/>
      <w:sz w:val="24"/>
      <w:szCs w:val="24"/>
    </w:rPr>
  </w:style>
  <w:style w:type="character" w:styleId="Button2text" w:customStyle="1">
    <w:name w:val="button2__text"/>
    <w:basedOn w:val="DefaultParagraphFont"/>
    <w:qFormat/>
    <w:rsid w:val="004757aa"/>
    <w:rPr/>
  </w:style>
  <w:style w:type="character" w:styleId="Metadate" w:customStyle="1">
    <w:name w:val="meta-date"/>
    <w:basedOn w:val="DefaultParagraphFont"/>
    <w:qFormat/>
    <w:rsid w:val="00994607"/>
    <w:rPr/>
  </w:style>
  <w:style w:type="character" w:styleId="Metaauthor" w:customStyle="1">
    <w:name w:val="meta-author"/>
    <w:basedOn w:val="DefaultParagraphFont"/>
    <w:qFormat/>
    <w:rsid w:val="00994607"/>
    <w:rPr/>
  </w:style>
  <w:style w:type="character" w:styleId="Author" w:customStyle="1">
    <w:name w:val="author"/>
    <w:basedOn w:val="DefaultParagraphFont"/>
    <w:qFormat/>
    <w:rsid w:val="00994607"/>
    <w:rPr/>
  </w:style>
  <w:style w:type="character" w:styleId="Blk" w:customStyle="1">
    <w:name w:val="blk"/>
    <w:basedOn w:val="DefaultParagraphFont"/>
    <w:qFormat/>
    <w:rsid w:val="00db110b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312e2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312e2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eb0624"/>
    <w:rPr>
      <w:rFonts w:ascii="Times New Roman" w:hAnsi="Times New Roman" w:eastAsia="Times New Roman" w:cs="Times New Roman"/>
      <w:b/>
      <w:bCs/>
      <w:iCs/>
      <w:color w:val="FF0000"/>
      <w:spacing w:val="-2"/>
      <w:sz w:val="32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eb0624"/>
    <w:rPr>
      <w:rFonts w:ascii="Times New Roman" w:hAnsi="Times New Roman" w:eastAsia="Times New Roman" w:cs="Times New Roman"/>
      <w:b/>
      <w:bCs/>
      <w:i/>
      <w:iCs/>
      <w:color w:val="FF0000"/>
      <w:spacing w:val="-2"/>
      <w:sz w:val="32"/>
      <w:szCs w:val="20"/>
      <w:lang w:eastAsia="ru-RU"/>
    </w:rPr>
  </w:style>
  <w:style w:type="character" w:styleId="FontStyle18" w:customStyle="1">
    <w:name w:val="Font Style18"/>
    <w:uiPriority w:val="99"/>
    <w:qFormat/>
    <w:rsid w:val="00eb0624"/>
    <w:rPr>
      <w:rFonts w:ascii="Times New Roman" w:hAnsi="Times New Roman" w:cs="Times New Roman"/>
      <w:b/>
      <w:bCs/>
      <w:sz w:val="24"/>
      <w:szCs w:val="24"/>
    </w:rPr>
  </w:style>
  <w:style w:type="character" w:styleId="FontStyle19" w:customStyle="1">
    <w:name w:val="Font Style19"/>
    <w:uiPriority w:val="99"/>
    <w:qFormat/>
    <w:rsid w:val="00eb0624"/>
    <w:rPr>
      <w:rFonts w:ascii="Times New Roman" w:hAnsi="Times New Roman" w:cs="Times New Roman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f4"/>
    <w:uiPriority w:val="99"/>
    <w:semiHidden/>
    <w:unhideWhenUsed/>
    <w:rsid w:val="0051565a"/>
    <w:pPr>
      <w:spacing w:lineRule="auto" w:line="254"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6356c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6356c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762b01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215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qFormat/>
    <w:rsid w:val="00f171f7"/>
    <w:pPr>
      <w:widowControl w:val="false"/>
      <w:spacing w:lineRule="exact" w:line="324" w:before="0" w:after="0"/>
      <w:ind w:firstLine="83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0126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2"/>
    <w:qFormat/>
    <w:rsid w:val="005c1b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7">
    <w:name w:val="Title"/>
    <w:basedOn w:val="Normal"/>
    <w:link w:val="af0"/>
    <w:qFormat/>
    <w:rsid w:val="005c1bbd"/>
    <w:pPr>
      <w:spacing w:lineRule="auto" w:line="240" w:before="0" w:after="0"/>
      <w:ind w:right="141" w:hanging="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ConsPlusNormal" w:customStyle="1">
    <w:name w:val="ConsPlusNormal"/>
    <w:qFormat/>
    <w:rsid w:val="005c1b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Style28">
    <w:name w:val="Body Text Indent"/>
    <w:basedOn w:val="Normal"/>
    <w:link w:val="af2"/>
    <w:unhideWhenUsed/>
    <w:rsid w:val="00cf4b63"/>
    <w:pPr>
      <w:spacing w:lineRule="auto" w:line="240" w:before="0" w:after="120"/>
      <w:ind w:left="283" w:hanging="0"/>
    </w:pPr>
    <w:rPr>
      <w:rFonts w:ascii="Calibri" w:hAnsi="Calibri" w:eastAsia="Times New Roman" w:cs="Times New Roman"/>
      <w:sz w:val="24"/>
      <w:szCs w:val="24"/>
      <w:lang w:val="en-US" w:bidi="en-US"/>
    </w:rPr>
  </w:style>
  <w:style w:type="paragraph" w:styleId="Headertext" w:customStyle="1">
    <w:name w:val="headertext"/>
    <w:basedOn w:val="Normal"/>
    <w:qFormat/>
    <w:rsid w:val="004d34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" w:customStyle="1">
    <w:name w:val="formattext"/>
    <w:basedOn w:val="Normal"/>
    <w:qFormat/>
    <w:rsid w:val="004d34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af6"/>
    <w:uiPriority w:val="1"/>
    <w:qFormat/>
    <w:rsid w:val="001d72e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3" w:customStyle="1">
    <w:name w:val="Основной текст1"/>
    <w:basedOn w:val="Normal"/>
    <w:link w:val="af7"/>
    <w:qFormat/>
    <w:rsid w:val="001d72e0"/>
    <w:pPr>
      <w:widowControl w:val="false"/>
      <w:shd w:val="clear" w:color="auto" w:fill="FFFFFF"/>
      <w:spacing w:lineRule="exact" w:line="274" w:before="0" w:after="0"/>
      <w:jc w:val="both"/>
    </w:pPr>
    <w:rPr>
      <w:sz w:val="23"/>
      <w:szCs w:val="23"/>
    </w:rPr>
  </w:style>
  <w:style w:type="paragraph" w:styleId="Style111" w:customStyle="1">
    <w:name w:val="Style11"/>
    <w:basedOn w:val="Normal"/>
    <w:qFormat/>
    <w:rsid w:val="001d72e0"/>
    <w:pPr>
      <w:widowControl w:val="false"/>
      <w:spacing w:lineRule="exact" w:line="226" w:before="0" w:after="0"/>
      <w:ind w:firstLine="413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2f35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22" w:customStyle="1">
    <w:name w:val="s_22"/>
    <w:basedOn w:val="Normal"/>
    <w:qFormat/>
    <w:rsid w:val="002f35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8235b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eastAsia="ru-RU" w:val="ru-RU" w:bidi="ar-SA"/>
    </w:rPr>
  </w:style>
  <w:style w:type="paragraph" w:styleId="Style141" w:customStyle="1">
    <w:name w:val="Style14"/>
    <w:basedOn w:val="Normal"/>
    <w:uiPriority w:val="99"/>
    <w:qFormat/>
    <w:rsid w:val="0068235b"/>
    <w:pPr>
      <w:widowControl w:val="false"/>
      <w:spacing w:lineRule="exact" w:line="336" w:before="0" w:after="0"/>
      <w:ind w:firstLine="70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312e2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312e2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Articlerenderblock" w:customStyle="1">
    <w:name w:val="article-render__block"/>
    <w:basedOn w:val="Normal"/>
    <w:qFormat/>
    <w:rsid w:val="004f064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ligncenter" w:customStyle="1">
    <w:name w:val="align_center"/>
    <w:basedOn w:val="Normal"/>
    <w:qFormat/>
    <w:rsid w:val="00af54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Обычный1"/>
    <w:qFormat/>
    <w:rsid w:val="00eb06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eb0624"/>
    <w:pPr>
      <w:widowControl w:val="false"/>
      <w:spacing w:lineRule="exact" w:line="341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eb062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c003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basedOn w:val="a1"/>
    <w:uiPriority w:val="60"/>
    <w:rsid w:val="00eb0624"/>
    <w:pPr>
      <w:spacing w:after="0" w:line="240" w:lineRule="auto"/>
    </w:pPr>
    <w:rPr>
      <w:lang w:eastAsia="ru-RU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yandex.ru/clck/jsredir?bu=4yyf&amp;from=yandex.ru%3Bsearch%2F%3Bweb%3B%3B&amp;text=&amp;etext=3360.TwauqNFmu2Y8acdtuDznkkqw2a4VkN4nAzwpgINZWmKwVpbuEqbJbCLHlRjnBs2h.b126f624b5c413089c1ca914fa5b0392079f1bd1&amp;uuid=&amp;state=PEtFfuTeVD4jaxywoSUvtB2i7c0_vxGdDFcW7MDt6c_LdIVGO5cgeKg6Y9d5PS7tQPlwDBvyYjpLslJK6e5Giu4CoPYqaB8nJZY6hShfK6vdTVvOY3zAbe42tEjcNZWDTeJBpXvvnrE,&amp;&amp;cst=AiuY0DBWFJ5eVd_Onia6xoQ3w55Cf7LxoeelTpQ6yPvTNQ8T_gYzZb0RLV-31FEy7XrY2Kakff8c22ZqP-fZ_riB3KHNzHcX6tY-1MKNL9jR16ynI2LdSsuQZ-Td1A-OMZyFpawkgvNMXQMaaV_gd_nuU4k4c5-twsXGdVhxOZ6oq8Vv9sXHP53m4TaZCJ9DtnyQLaQXzJDUi4GvfwLYCG-OWXSa5EatpuOW1Q7rqhaNFJqi-8JDrx7dGObbq6t7DmH9G72eA8REYMJscdxj1VrPNYtYazak0PnAiFiE83ZzGmfgk8Yab4874_68ykbNbsWvBKLsnX7rjkgos_WEAcTU9xuIJ0CmbthWbs6UBZQ9kQGUD5xpTeK5iGJv4UlWCwSmu6I8LC8VLu7eH6vt_I-m7RyDzIs-qYOlWt_hNv0jXG413G0F2sK91xfsT-lp7KprJMUzxx84Q9VACt5-PXraVstN4q-HSxPJMngfBG55vQKLSdyruPgGobgM0HmJK3ijn4RsksM0LVUFDOE8J71o5VvlsgP_GaQQvFy3bZk6uLL_M4ra8hY-wCAo8notdC71Qt-2WvtpvaSv1wajiK2qHusekO5CbZwFuuYWKrLF31eiirW5dixl9SNDcEsRzBFi2fdeBB6zpdnl8UL--eTohclfcYNcxx6X0NWlFLDUocxqMtM6OrhIKlQycyQfbNWLODQEQ3Pje2HwVgNVIEnPOAavHpmOjRXxX76c8pSrKAbh77Uai0xyzpCP5_A6cfSGvoyYK6WuM6rDCRvGiRAIiEhbMrW2-18yPoa5uP3KVFz1lbfuWBF-9Ar3zfLD2qNndofAoBItJMRuuDcVCsYQMmBFVvNS50qto4AC5R39dg7EoWgz4cMjZ0AfdxOREww_aB1m9-vVLH--cLwVKzT2EHwm9W617G88lYLFbFUjkuHu7IEfpCtd4C9V0orQbYR903BZq9k,&amp;data=UlNrNmk5WktYejR0eWJFYk1LdmtxbDFaOTdGN1JIVjVyRUVQUkNuTlNNSzRMS3RTTllQdVgzU1ZTTkw0OUJYV3d3UEtxb3hkU0U3aWx2dTdkRzNteGpHZG9rdmlfYUZH&amp;sign=dfa34a40c3f3299ab1eae77bcfd1900a&amp;keyno=0&amp;b64e=2&amp;ref=orjY4mGPRjk5boDnW0uvlrrd71vZw9kpLgjLKbD-n4c0dK1I-ifN6fvUIC_6RQzZYtJEvnpqGJyUyDaykN4AZvyBhNs764UIwRRGwyfP7dXZdzXPldEryxuIu3q3LXwu&amp;l10n=ru&amp;rp=1&amp;cts=1564462139957&amp;mc=3.3232314287976203&amp;hdtime=7676.795" TargetMode="External"/><Relationship Id="rId3" Type="http://schemas.openxmlformats.org/officeDocument/2006/relationships/hyperlink" Target="https://docs.cntd.ru/document/603447129" TargetMode="External"/><Relationship Id="rId4" Type="http://schemas.openxmlformats.org/officeDocument/2006/relationships/hyperlink" Target="https://docs.cntd.ru/document/607141243" TargetMode="External"/><Relationship Id="rId5" Type="http://schemas.openxmlformats.org/officeDocument/2006/relationships/hyperlink" Target="https://docs.cntd.ru/document/902260215" TargetMode="External"/><Relationship Id="rId6" Type="http://schemas.openxmlformats.org/officeDocument/2006/relationships/image" Target="media/image1.wm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chart" Target="charts/chart1.xml"/><Relationship Id="rId10" Type="http://schemas.openxmlformats.org/officeDocument/2006/relationships/chart" Target="charts/chart2.xml"/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chart" Target="charts/chart6.xml"/><Relationship Id="rId15" Type="http://schemas.openxmlformats.org/officeDocument/2006/relationships/header" Target="head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6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solidFill>
          <a:srgbClr val="c0c0c0"/>
        </a:solidFill>
        <a:ln w="12600">
          <a:solidFill>
            <a:srgbClr val="808080"/>
          </a:solidFill>
          <a:round/>
        </a:ln>
      </c:spPr>
    </c:sideWall>
    <c:backWall>
      <c:spPr>
        <a:solidFill>
          <a:srgbClr val="c0c0c0"/>
        </a:solidFill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81875"/>
          <c:y val="0.0836666666666667"/>
          <c:w val="0.839625"/>
          <c:h val="0.6234444444444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1048" spc="-1" strike="noStrike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225</c:v>
                </c:pt>
                <c:pt idx="1">
                  <c:v>137</c:v>
                </c:pt>
                <c:pt idx="2">
                  <c:v>158</c:v>
                </c:pt>
                <c:pt idx="3">
                  <c:v>129</c:v>
                </c:pt>
                <c:pt idx="4">
                  <c:v>323</c:v>
                </c:pt>
                <c:pt idx="5">
                  <c:v>277</c:v>
                </c:pt>
                <c:pt idx="6">
                  <c:v>157</c:v>
                </c:pt>
                <c:pt idx="7">
                  <c:v>174</c:v>
                </c:pt>
                <c:pt idx="8">
                  <c:v>167</c:v>
                </c:pt>
                <c:pt idx="9">
                  <c:v>163</c:v>
                </c:pt>
                <c:pt idx="10">
                  <c:v>184</c:v>
                </c:pt>
                <c:pt idx="11">
                  <c:v>232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1048" spc="-1" strike="noStrike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168</c:v>
                </c:pt>
                <c:pt idx="1">
                  <c:v>142</c:v>
                </c:pt>
                <c:pt idx="2">
                  <c:v>144</c:v>
                </c:pt>
                <c:pt idx="3">
                  <c:v>166</c:v>
                </c:pt>
                <c:pt idx="4">
                  <c:v>353</c:v>
                </c:pt>
                <c:pt idx="5">
                  <c:v>280</c:v>
                </c:pt>
                <c:pt idx="6">
                  <c:v>211</c:v>
                </c:pt>
                <c:pt idx="7">
                  <c:v>293</c:v>
                </c:pt>
                <c:pt idx="8">
                  <c:v>298</c:v>
                </c:pt>
                <c:pt idx="9">
                  <c:v>220</c:v>
                </c:pt>
                <c:pt idx="10">
                  <c:v>180</c:v>
                </c:pt>
                <c:pt idx="11">
                  <c:v>254</c:v>
                </c:pt>
              </c:numCache>
            </c:numRef>
          </c:val>
        </c:ser>
        <c:gapWidth val="150"/>
        <c:shape val="box"/>
        <c:axId val="48584381"/>
        <c:axId val="62792646"/>
        <c:axId val="0"/>
      </c:bar3DChart>
      <c:catAx>
        <c:axId val="48584381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3240">
            <a:solidFill>
              <a:srgbClr val="000000"/>
            </a:solidFill>
            <a:round/>
          </a:ln>
        </c:spPr>
        <c:txPr>
          <a:bodyPr rot="-5400000"/>
          <a:lstStyle/>
          <a:p>
            <a:pPr>
              <a:defRPr b="0" sz="1048" spc="-1" strike="noStrike">
                <a:solidFill>
                  <a:srgbClr val="000000"/>
                </a:solidFill>
                <a:latin typeface="Times New Roman"/>
                <a:ea typeface="Times New Roman"/>
              </a:defRPr>
            </a:pPr>
          </a:p>
        </c:txPr>
        <c:crossAx val="62792646"/>
        <c:crosses val="autoZero"/>
        <c:auto val="1"/>
        <c:lblAlgn val="ctr"/>
        <c:lblOffset val="100"/>
        <c:noMultiLvlLbl val="0"/>
      </c:catAx>
      <c:valAx>
        <c:axId val="62792646"/>
        <c:scaling>
          <c:orientation val="minMax"/>
        </c:scaling>
        <c:delete val="0"/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sz="1048" spc="-1" strike="noStrike">
                <a:solidFill>
                  <a:srgbClr val="000000"/>
                </a:solidFill>
                <a:latin typeface="Calibri"/>
                <a:ea typeface="Calibri"/>
              </a:defRPr>
            </a:pPr>
          </a:p>
        </c:txPr>
        <c:crossAx val="48584381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50625"/>
          <c:y val="0.405777777777778"/>
          <c:w val="0.0785674104631539"/>
          <c:h val="0.188243138126458"/>
        </c:manualLayout>
      </c:layout>
      <c:overlay val="0"/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b="1" sz="963" spc="-1" strike="noStrike">
              <a:solidFill>
                <a:srgbClr val="000000"/>
              </a:solidFill>
              <a:latin typeface="Calibri"/>
              <a:ea typeface="Calibri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noFill/>
        <a:ln w="12600">
          <a:solidFill>
            <a:srgbClr val="808080"/>
          </a:solidFill>
          <a:round/>
        </a:ln>
      </c:spPr>
    </c:sideWall>
    <c:backWall>
      <c:spPr>
        <a:noFill/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18125"/>
          <c:y val="0.0482222222222222"/>
          <c:w val="0.8490625"/>
          <c:h val="0.8578888888888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Pt>
            <c:idx val="0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5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6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7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8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9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0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1"/>
            <c:invertIfNegative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0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1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997" spc="-1" strike="noStrike">
                    <a:solidFill>
                      <a:srgbClr val="000000"/>
                    </a:solidFill>
                    <a:latin typeface="Times New Roman"/>
                    <a:ea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Фервлаь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6</c:v>
                </c:pt>
                <c:pt idx="1">
                  <c:v>18</c:v>
                </c:pt>
                <c:pt idx="2">
                  <c:v>5</c:v>
                </c:pt>
                <c:pt idx="3">
                  <c:v>13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4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99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Pt>
            <c:idx val="0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5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6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7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8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9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0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1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0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1"/>
              <c:numFmt formatCode="General" sourceLinked="0"/>
              <c:txPr>
                <a:bodyPr/>
                <a:lstStyle/>
                <a:p>
                  <a:pPr>
                    <a:defRPr b="1" sz="1644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997" spc="-1" strike="noStrike">
                    <a:solidFill>
                      <a:srgbClr val="000000"/>
                    </a:solidFill>
                    <a:latin typeface="Times New Roman"/>
                    <a:ea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Фервлаь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10</c:v>
                </c:pt>
                <c:pt idx="9">
                  <c:v>16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</c:ser>
        <c:gapWidth val="150"/>
        <c:shape val="cylinder"/>
        <c:axId val="81785461"/>
        <c:axId val="42187036"/>
        <c:axId val="0"/>
      </c:bar3DChart>
      <c:catAx>
        <c:axId val="81785461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0" sz="698" spc="-1" strike="noStrike">
                <a:solidFill>
                  <a:srgbClr val="000000"/>
                </a:solidFill>
                <a:latin typeface="Times New Roman"/>
                <a:ea typeface="Times New Roman"/>
              </a:defRPr>
            </a:pPr>
          </a:p>
        </c:txPr>
        <c:crossAx val="42187036"/>
        <c:crosses val="autoZero"/>
        <c:auto val="1"/>
        <c:lblAlgn val="ctr"/>
        <c:lblOffset val="100"/>
        <c:noMultiLvlLbl val="0"/>
      </c:catAx>
      <c:valAx>
        <c:axId val="42187036"/>
        <c:scaling>
          <c:orientation val="minMax"/>
        </c:scaling>
        <c:delete val="0"/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0" i="1" sz="1071" spc="-1" strike="noStrike">
                <a:solidFill>
                  <a:srgbClr val="000000"/>
                </a:solidFill>
                <a:latin typeface="Times New Roman"/>
                <a:ea typeface="Times New Roman"/>
              </a:defRPr>
            </a:pPr>
          </a:p>
        </c:txPr>
        <c:crossAx val="81785461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7625"/>
          <c:y val="0.439666666666667"/>
          <c:w val="0.076192262016376"/>
          <c:h val="0.12056895210579"/>
        </c:manualLayout>
      </c:layout>
      <c:overlay val="0"/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b="0" sz="982" spc="-1" strike="noStrike">
              <a:solidFill>
                <a:srgbClr val="000000"/>
              </a:solidFill>
              <a:latin typeface="Times New Roman"/>
              <a:ea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685625"/>
          <c:y val="0.258222222222222"/>
          <c:w val="0.915625"/>
          <c:h val="0.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пожары</c:v>
                </c:pt>
              </c:strCache>
            </c:strRef>
          </c:tx>
          <c:spPr>
            <a:gradFill>
              <a:gsLst>
                <a:gs pos="0">
                  <a:srgbClr val="ff0000"/>
                </a:gs>
                <a:gs pos="100000">
                  <a:srgbClr val="ffffff"/>
                </a:gs>
              </a:gsLst>
              <a:lin ang="0"/>
            </a:gradFill>
            <a:ln w="12600">
              <a:solidFill>
                <a:srgbClr val="000000"/>
              </a:solidFill>
              <a:round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1" sz="798" spc="-1" strike="noStrike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326</c:v>
                </c:pt>
                <c:pt idx="1">
                  <c:v>296</c:v>
                </c:pt>
                <c:pt idx="2">
                  <c:v>318</c:v>
                </c:pt>
                <c:pt idx="3">
                  <c:v>313</c:v>
                </c:pt>
                <c:pt idx="4">
                  <c:v>352</c:v>
                </c:pt>
                <c:pt idx="5">
                  <c:v>348</c:v>
                </c:pt>
                <c:pt idx="6">
                  <c:v>373</c:v>
                </c:pt>
              </c:numCache>
            </c:numRef>
          </c:val>
        </c:ser>
        <c:gapWidth val="150"/>
        <c:overlap val="0"/>
        <c:axId val="98046871"/>
        <c:axId val="16838973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гибель</c:v>
                </c:pt>
              </c:strCache>
            </c:strRef>
          </c:tx>
          <c:spPr>
            <a:solidFill>
              <a:srgbClr val="000080"/>
            </a:solidFill>
            <a:ln w="12600">
              <a:solidFill>
                <a:srgbClr val="000080"/>
              </a:solidFill>
              <a:round/>
            </a:ln>
          </c:spPr>
          <c:marker>
            <c:symbol val="diamond"/>
            <c:size val="4"/>
            <c:spPr>
              <a:solidFill>
                <a:srgbClr val="000080"/>
              </a:solidFill>
            </c:spPr>
          </c:marker>
          <c:dPt>
            <c:idx val="0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Pt>
            <c:idx val="1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Pt>
            <c:idx val="2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Pt>
            <c:idx val="3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Pt>
            <c:idx val="4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Pt>
            <c:idx val="5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Pt>
            <c:idx val="6"/>
            <c:marker>
              <c:symbol val="diamond"/>
              <c:size val="4"/>
              <c:spPr>
                <a:solidFill>
                  <a:srgbClr val="000080"/>
                </a:solidFill>
              </c:spPr>
            </c:marke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/>
                <a:lstStyle/>
                <a:p>
                  <a:pPr>
                    <a:defRPr b="1" sz="798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798" spc="-1" strike="noStrike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9</c:v>
                </c:pt>
                <c:pt idx="1">
                  <c:v>16</c:v>
                </c:pt>
                <c:pt idx="2">
                  <c:v>9</c:v>
                </c:pt>
                <c:pt idx="3">
                  <c:v>16</c:v>
                </c:pt>
                <c:pt idx="4">
                  <c:v>20</c:v>
                </c:pt>
                <c:pt idx="5">
                  <c:v>4</c:v>
                </c:pt>
                <c:pt idx="6">
                  <c:v>15</c:v>
                </c:pt>
              </c:numCache>
            </c:numRef>
          </c:val>
          <c:smooth val="0"/>
        </c:ser>
        <c:hiLowLines>
          <c:spPr>
            <a:ln>
              <a:noFill/>
            </a:ln>
          </c:spPr>
        </c:hiLowLines>
        <c:marker val="1"/>
        <c:axId val="30979068"/>
        <c:axId val="94734742"/>
      </c:lineChart>
      <c:catAx>
        <c:axId val="98046871"/>
        <c:scaling>
          <c:orientation val="minMax"/>
        </c:scaling>
        <c:delete val="0"/>
        <c:axPos val="b"/>
        <c:numFmt formatCode="[$-419]dd/mm/yyyy" sourceLinked="1"/>
        <c:majorTickMark val="cross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sz="798" spc="-1" strike="noStrike">
                <a:solidFill>
                  <a:srgbClr val="000000"/>
                </a:solidFill>
                <a:latin typeface="Calibri"/>
                <a:ea typeface="Calibri"/>
              </a:defRPr>
            </a:pPr>
          </a:p>
        </c:txPr>
        <c:crossAx val="16838973"/>
        <c:crosses val="autoZero"/>
        <c:auto val="1"/>
        <c:lblAlgn val="ctr"/>
        <c:lblOffset val="100"/>
        <c:noMultiLvlLbl val="0"/>
      </c:catAx>
      <c:valAx>
        <c:axId val="16838973"/>
        <c:scaling>
          <c:orientation val="minMax"/>
        </c:scaling>
        <c:delete val="0"/>
        <c:axPos val="l"/>
        <c:numFmt formatCode="General" sourceLinked="0"/>
        <c:majorTickMark val="cross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sz="798" spc="-1" strike="noStrike">
                <a:solidFill>
                  <a:srgbClr val="000000"/>
                </a:solidFill>
                <a:latin typeface="Calibri"/>
                <a:ea typeface="Calibri"/>
              </a:defRPr>
            </a:pPr>
          </a:p>
        </c:txPr>
        <c:crossAx val="98046871"/>
        <c:crosses val="autoZero"/>
        <c:crossBetween val="between"/>
      </c:valAx>
      <c:catAx>
        <c:axId val="30979068"/>
        <c:scaling>
          <c:orientation val="minMax"/>
        </c:scaling>
        <c:delete val="1"/>
        <c:axPos val="t"/>
        <c:numFmt formatCode="[$-419]dd/mm/yyyy" sourceLinked="1"/>
        <c:majorTickMark val="out"/>
        <c:minorTickMark val="none"/>
        <c:tickLblPos val="none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1" sz="798" spc="-1" strike="noStrike">
                <a:solidFill>
                  <a:srgbClr val="000000"/>
                </a:solidFill>
                <a:latin typeface="Calibri"/>
                <a:ea typeface="Calibri"/>
              </a:defRPr>
            </a:pPr>
          </a:p>
        </c:txPr>
        <c:crossAx val="94734742"/>
        <c:auto val="1"/>
        <c:lblAlgn val="ctr"/>
        <c:lblOffset val="100"/>
        <c:noMultiLvlLbl val="0"/>
      </c:catAx>
      <c:valAx>
        <c:axId val="94734742"/>
        <c:scaling>
          <c:orientation val="minMax"/>
        </c:scaling>
        <c:delete val="1"/>
        <c:axPos val="r"/>
        <c:numFmt formatCode="General" sourceLinked="0"/>
        <c:majorTickMark val="out"/>
        <c:minorTickMark val="none"/>
        <c:tickLblPos val="none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1" sz="798" spc="-1" strike="noStrike">
                <a:solidFill>
                  <a:srgbClr val="000000"/>
                </a:solidFill>
                <a:latin typeface="Calibri"/>
                <a:ea typeface="Calibri"/>
              </a:defRPr>
            </a:pPr>
          </a:p>
        </c:txPr>
        <c:crossAx val="30979068"/>
        <c:crossBetween val="between"/>
      </c:valAx>
      <c:spPr>
        <a:noFill/>
        <a:ln w="25200">
          <a:noFill/>
        </a:ln>
      </c:spPr>
    </c:plotArea>
    <c:legend>
      <c:legendPos val="t"/>
      <c:layout>
        <c:manualLayout>
          <c:xMode val="edge"/>
          <c:yMode val="edge"/>
          <c:x val="0.395375"/>
          <c:y val="0.0164444444444444"/>
          <c:w val="0.258328645540346"/>
          <c:h val="0.120791199022114"/>
        </c:manualLayout>
      </c:layout>
      <c:overlay val="0"/>
      <c:spPr>
        <a:solidFill>
          <a:srgbClr val="ffffff"/>
        </a:solidFill>
        <a:ln w="3240">
          <a:solidFill>
            <a:srgbClr val="000000"/>
          </a:solidFill>
          <a:round/>
        </a:ln>
      </c:spPr>
      <c:txPr>
        <a:bodyPr/>
        <a:lstStyle/>
        <a:p>
          <a:pPr>
            <a:defRPr b="1" sz="733" spc="-1" strike="noStrike">
              <a:solidFill>
                <a:srgbClr val="000000"/>
              </a:solidFill>
              <a:latin typeface="Calibri"/>
              <a:ea typeface="Calibri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0"/>
      <c:rAngAx val="0"/>
      <c:perspective val="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157125"/>
          <c:y val="0.311777777777778"/>
          <c:w val="0.66825"/>
          <c:h val="0.515444444444444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4472c4"/>
            </a:solidFill>
            <a:ln w="25200">
              <a:noFill/>
            </a:ln>
          </c:spPr>
          <c:explosion val="11"/>
          <c:dPt>
            <c:idx val="0"/>
            <c:explosion val="11"/>
            <c:spPr>
              <a:gradFill>
                <a:gsLst>
                  <a:gs pos="0">
                    <a:srgbClr val="ffffff"/>
                  </a:gs>
                  <a:gs pos="100000">
                    <a:srgbClr val="9999ff"/>
                  </a:gs>
                </a:gsLst>
                <a:path path="rect"/>
              </a:gradFill>
              <a:ln w="25200">
                <a:noFill/>
              </a:ln>
            </c:spPr>
          </c:dPt>
          <c:dPt>
            <c:idx val="1"/>
            <c:explosion val="11"/>
            <c:spPr>
              <a:gradFill>
                <a:gsLst>
                  <a:gs pos="0">
                    <a:srgbClr val="ffffff"/>
                  </a:gs>
                  <a:gs pos="100000">
                    <a:srgbClr val="993366"/>
                  </a:gs>
                </a:gsLst>
                <a:path path="rect"/>
              </a:gradFill>
              <a:ln w="25200">
                <a:noFill/>
              </a:ln>
            </c:spPr>
          </c:dPt>
          <c:dPt>
            <c:idx val="2"/>
            <c:explosion val="11"/>
            <c:spPr>
              <a:gradFill>
                <a:gsLst>
                  <a:gs pos="0">
                    <a:srgbClr val="ffffff"/>
                  </a:gs>
                  <a:gs pos="100000">
                    <a:srgbClr val="ff8080"/>
                  </a:gs>
                </a:gsLst>
                <a:path path="rect"/>
              </a:gradFill>
              <a:ln w="25200">
                <a:noFill/>
              </a:ln>
            </c:spPr>
          </c:dPt>
          <c:dPt>
            <c:idx val="3"/>
            <c:explosion val="11"/>
            <c:spPr>
              <a:gradFill>
                <a:gsLst>
                  <a:gs pos="0">
                    <a:srgbClr val="ffffff"/>
                  </a:gs>
                  <a:gs pos="100000">
                    <a:srgbClr val="00ffff"/>
                  </a:gs>
                </a:gsLst>
                <a:path path="rect"/>
              </a:gradFill>
              <a:ln w="25200">
                <a:noFill/>
              </a:ln>
            </c:spPr>
          </c:dPt>
          <c:dPt>
            <c:idx val="4"/>
            <c:explosion val="11"/>
            <c:spPr>
              <a:solidFill>
                <a:srgbClr val="660066"/>
              </a:solidFill>
              <a:ln w="25200">
                <a:noFill/>
              </a:ln>
            </c:spPr>
          </c:dPt>
          <c:dLbls>
            <c:numFmt formatCode="0%" sourceLinked="0"/>
            <c:dLbl>
              <c:idx val="0"/>
              <c:numFmt formatCode="0%" sourceLinked="0"/>
              <c:txPr>
                <a:bodyPr/>
                <a:lstStyle/>
                <a:p>
                  <a:pPr>
                    <a:defRPr b="0" sz="1148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Нахождение в состоянии а/о, 28,9%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, </c:separator>
            </c:dLbl>
            <c:dLbl>
              <c:idx val="1"/>
              <c:numFmt formatCode="0%" sourceLinked="0"/>
              <c:txPr>
                <a:bodyPr/>
                <a:lstStyle/>
                <a:p>
                  <a:pPr>
                    <a:defRPr b="0" sz="1148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Паника, 23,6%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, </c:separator>
            </c:dLbl>
            <c:dLbl>
              <c:idx val="2"/>
              <c:numFmt formatCode="0%" sourceLinked="0"/>
              <c:txPr>
                <a:bodyPr/>
                <a:lstStyle/>
                <a:p>
                  <a:pPr>
                    <a:defRPr b="1" sz="1422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, </c:separator>
            </c:dLbl>
            <c:dLbl>
              <c:idx val="3"/>
              <c:numFmt formatCode="0%" sourceLinked="0"/>
              <c:txPr>
                <a:bodyPr/>
                <a:lstStyle/>
                <a:p>
                  <a:pPr>
                    <a:defRPr b="0" sz="1148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Позднее сообщение о пожаре, 3,9%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, </c:separator>
            </c:dLbl>
            <c:dLbl>
              <c:idx val="4"/>
              <c:numFmt formatCode="0%" sourceLinked="0"/>
              <c:txPr>
                <a:bodyPr/>
                <a:lstStyle/>
                <a:p>
                  <a:pPr>
                    <a:defRPr b="0" sz="1148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Прочие причины, 26,3%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, </c:separator>
            </c:dLbl>
            <c:txPr>
              <a:bodyPr/>
              <a:lstStyle/>
              <a:p>
                <a:pPr>
                  <a:defRPr b="0" sz="1148" spc="-1" strike="noStrike">
                    <a:solidFill>
                      <a:srgbClr val="000000"/>
                    </a:solidFill>
                    <a:latin typeface="Times New Roman"/>
                    <a:ea typeface="Times New Roman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, </c:separator>
            <c:showLeaderLines val="0"/>
          </c:dLbls>
          <c:cat>
            <c:strRef>
              <c:f>categories</c:f>
              <c:strCache>
                <c:ptCount val="5"/>
                <c:pt idx="0">
                  <c:v>Нахождение в состоянии а/о</c:v>
                </c:pt>
                <c:pt idx="1">
                  <c:v>Паника</c:v>
                </c:pt>
                <c:pt idx="2">
                  <c:v>Нахождение в состоянии сна</c:v>
                </c:pt>
                <c:pt idx="3">
                  <c:v>Позднее сообщение о пожаре</c:v>
                </c:pt>
                <c:pt idx="4">
                  <c:v>Прочие причины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22</c:v>
                </c:pt>
                <c:pt idx="1">
                  <c:v>18</c:v>
                </c:pt>
                <c:pt idx="2">
                  <c:v>13</c:v>
                </c:pt>
                <c:pt idx="3">
                  <c:v>3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explosion val="11"/>
          <c:dPt>
            <c:idx val="0"/>
            <c:explosion val="11"/>
            <c:spPr>
              <a:solidFill>
                <a:srgbClr val="99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explosion val="11"/>
            <c:spPr>
              <a:solidFill>
                <a:srgbClr val="ed7d31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explosion val="11"/>
            <c:spPr>
              <a:solidFill>
                <a:srgbClr val="ffffcc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explosion val="11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explosion val="11"/>
            <c:spPr>
              <a:solidFill>
                <a:srgbClr val="660066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4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5"/>
                <c:pt idx="0">
                  <c:v>Нахождение в состоянии а/о</c:v>
                </c:pt>
                <c:pt idx="1">
                  <c:v>Паника</c:v>
                </c:pt>
                <c:pt idx="2">
                  <c:v>Нахождение в состоянии сна</c:v>
                </c:pt>
                <c:pt idx="3">
                  <c:v>Позднее сообщение о пожаре</c:v>
                </c:pt>
                <c:pt idx="4">
                  <c:v>Прочие причины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Серия3</c:v>
                </c:pt>
              </c:strCache>
            </c:strRef>
          </c:tx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explosion val="11"/>
          <c:dPt>
            <c:idx val="0"/>
            <c:explosion val="11"/>
            <c:spPr>
              <a:solidFill>
                <a:srgbClr val="99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explosion val="11"/>
            <c:spPr>
              <a:solidFill>
                <a:srgbClr val="993366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explosion val="11"/>
            <c:spPr>
              <a:solidFill>
                <a:srgbClr val="a5a5a5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explosion val="11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explosion val="11"/>
            <c:spPr>
              <a:solidFill>
                <a:srgbClr val="660066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4"/>
              <c:txPr>
                <a:bodyPr/>
                <a:lstStyle/>
                <a:p>
                  <a:pPr>
                    <a:defRPr b="0" sz="1000" spc="-1" strike="noStrike">
                      <a:latin typeface="Arial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5"/>
                <c:pt idx="0">
                  <c:v>Нахождение в состоянии а/о</c:v>
                </c:pt>
                <c:pt idx="1">
                  <c:v>Паника</c:v>
                </c:pt>
                <c:pt idx="2">
                  <c:v>Нахождение в состоянии сна</c:v>
                </c:pt>
                <c:pt idx="3">
                  <c:v>Позднее сообщение о пожаре</c:v>
                </c:pt>
                <c:pt idx="4">
                  <c:v>Прочие причины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</c:numCache>
            </c:numRef>
          </c:val>
        </c:ser>
      </c:pie3DChart>
    </c:plotArea>
    <c:plotVisOnly val="1"/>
    <c:dispBlanksAs val="zero"/>
  </c:chart>
  <c:spPr>
    <a:noFill/>
    <a:ln w="936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solidFill>
          <a:srgbClr val="ffffff"/>
        </a:solidFill>
        <a:ln w="12600">
          <a:solidFill>
            <a:srgbClr val="808080"/>
          </a:solidFill>
          <a:round/>
        </a:ln>
      </c:spPr>
    </c:sideWall>
    <c:backWall>
      <c:spPr>
        <a:solidFill>
          <a:srgbClr val="ffffff"/>
        </a:solidFill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3625"/>
          <c:y val="0.0704444444444444"/>
          <c:w val="0.840875"/>
          <c:h val="0.8168888888888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cc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Pt>
            <c:idx val="0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5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6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7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8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9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0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1"/>
            <c:invertIfNegative val="0"/>
            <c:spPr>
              <a:solidFill>
                <a:srgbClr val="99ccff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0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1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96" spc="-1" strike="noStrike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11</c:v>
                </c:pt>
                <c:pt idx="1">
                  <c:v>7</c:v>
                </c:pt>
                <c:pt idx="2">
                  <c:v>3</c:v>
                </c:pt>
                <c:pt idx="3">
                  <c:v>11</c:v>
                </c:pt>
                <c:pt idx="4">
                  <c:v>9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6</c:v>
                </c:pt>
                <c:pt idx="9">
                  <c:v>4</c:v>
                </c:pt>
                <c:pt idx="10">
                  <c:v>11</c:v>
                </c:pt>
                <c:pt idx="11">
                  <c:v>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99ff"/>
            </a:solidFill>
            <a:ln w="12600">
              <a:solidFill>
                <a:srgbClr val="000000"/>
              </a:solidFill>
              <a:round/>
            </a:ln>
          </c:spPr>
          <c:invertIfNegative val="0"/>
          <c:dPt>
            <c:idx val="0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5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6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7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8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9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0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11"/>
            <c:invertIfNegative val="0"/>
            <c:spPr>
              <a:solidFill>
                <a:srgbClr val="cc99ff"/>
              </a:solidFill>
              <a:ln w="12600">
                <a:solidFill>
                  <a:srgbClr val="000000"/>
                </a:solidFill>
                <a:round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0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1"/>
              <c:numFmt formatCode="General" sourceLinked="0"/>
              <c:txPr>
                <a:bodyPr/>
                <a:lstStyle/>
                <a:p>
                  <a:pPr>
                    <a:defRPr b="1" sz="1196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196" spc="-1" strike="noStrike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8</c:v>
                </c:pt>
                <c:pt idx="1">
                  <c:v>3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6</c:v>
                </c:pt>
                <c:pt idx="10">
                  <c:v>5</c:v>
                </c:pt>
                <c:pt idx="11">
                  <c:v>7</c:v>
                </c:pt>
              </c:numCache>
            </c:numRef>
          </c:val>
        </c:ser>
        <c:gapWidth val="150"/>
        <c:shape val="cylinder"/>
        <c:axId val="84898893"/>
        <c:axId val="38502745"/>
        <c:axId val="0"/>
      </c:bar3DChart>
      <c:catAx>
        <c:axId val="84898893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sz="598" spc="-1" strike="noStrike">
                <a:solidFill>
                  <a:srgbClr val="000000"/>
                </a:solidFill>
                <a:latin typeface="Times New Roman"/>
                <a:ea typeface="Times New Roman"/>
              </a:defRPr>
            </a:pPr>
          </a:p>
        </c:txPr>
        <c:crossAx val="38502745"/>
        <c:crosses val="autoZero"/>
        <c:auto val="1"/>
        <c:lblAlgn val="ctr"/>
        <c:lblOffset val="100"/>
        <c:noMultiLvlLbl val="0"/>
      </c:catAx>
      <c:valAx>
        <c:axId val="38502745"/>
        <c:scaling>
          <c:orientation val="minMax"/>
        </c:scaling>
        <c:delete val="0"/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b="1" sz="1196" spc="-1" strike="noStrike">
                <a:solidFill>
                  <a:srgbClr val="000000"/>
                </a:solidFill>
                <a:latin typeface="Calibri"/>
                <a:ea typeface="Calibri"/>
              </a:defRPr>
            </a:pPr>
          </a:p>
        </c:txPr>
        <c:crossAx val="84898893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2875"/>
          <c:y val="0.426"/>
          <c:w val="0.0803800237514845"/>
          <c:h val="0.151350150016669"/>
        </c:manualLayout>
      </c:layout>
      <c:overlay val="0"/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b="0" sz="917" spc="-1" strike="noStrike">
              <a:solidFill>
                <a:srgbClr val="000000"/>
              </a:solidFill>
              <a:latin typeface="Calibri"/>
              <a:ea typeface="Calibri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50"/>
      <c:rAngAx val="0"/>
      <c:perspective val="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1695"/>
          <c:y val="0.286888888888889"/>
          <c:w val="0.729375"/>
          <c:h val="0.489444444444444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Серия1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explosion val="12"/>
          <c:dPt>
            <c:idx val="0"/>
            <c:explosion val="12"/>
            <c:spPr>
              <a:gradFill>
                <a:gsLst>
                  <a:gs pos="0">
                    <a:srgbClr val="9999ff"/>
                  </a:gs>
                  <a:gs pos="100000">
                    <a:srgbClr val="464676"/>
                  </a:gs>
                </a:gsLst>
                <a:path path="rect"/>
              </a:gradFill>
              <a:ln w="12600">
                <a:solidFill>
                  <a:srgbClr val="000000"/>
                </a:solidFill>
                <a:round/>
              </a:ln>
            </c:spPr>
          </c:dPt>
          <c:dPt>
            <c:idx val="1"/>
            <c:explosion val="12"/>
            <c:spPr>
              <a:gradFill>
                <a:gsLst>
                  <a:gs pos="0">
                    <a:srgbClr val="ffffff"/>
                  </a:gs>
                  <a:gs pos="100000">
                    <a:srgbClr val="993366"/>
                  </a:gs>
                </a:gsLst>
                <a:path path="rect"/>
              </a:gradFill>
              <a:ln w="12600">
                <a:solidFill>
                  <a:srgbClr val="000000"/>
                </a:solidFill>
                <a:round/>
              </a:ln>
            </c:spPr>
          </c:dPt>
          <c:dPt>
            <c:idx val="2"/>
            <c:explosion val="12"/>
            <c:spPr>
              <a:gradFill>
                <a:gsLst>
                  <a:gs pos="0">
                    <a:srgbClr val="ffffcc"/>
                  </a:gs>
                  <a:gs pos="100000">
                    <a:srgbClr val="76765e"/>
                  </a:gs>
                </a:gsLst>
                <a:path path="rect"/>
              </a:gradFill>
              <a:ln w="12600">
                <a:solidFill>
                  <a:srgbClr val="000000"/>
                </a:solidFill>
                <a:round/>
              </a:ln>
            </c:spPr>
          </c:dPt>
          <c:dPt>
            <c:idx val="3"/>
            <c:explosion val="12"/>
            <c:spPr>
              <a:gradFill>
                <a:gsLst>
                  <a:gs pos="0">
                    <a:srgbClr val="ccffff"/>
                  </a:gs>
                  <a:gs pos="100000">
                    <a:srgbClr val="5e7676"/>
                  </a:gs>
                </a:gsLst>
                <a:path path="rect"/>
              </a:gradFill>
              <a:ln w="12600">
                <a:solidFill>
                  <a:srgbClr val="000000"/>
                </a:solidFill>
                <a:round/>
              </a:ln>
            </c:spPr>
          </c:dPt>
          <c:dPt>
            <c:idx val="4"/>
            <c:explosion val="12"/>
            <c:spPr>
              <a:solidFill>
                <a:srgbClr val="660066"/>
              </a:solidFill>
              <a:ln w="12600">
                <a:solidFill>
                  <a:srgbClr val="000000"/>
                </a:solidFill>
                <a:round/>
              </a:ln>
            </c:spPr>
          </c:dPt>
          <c:dPt>
            <c:idx val="5"/>
            <c:explosion val="12"/>
            <c:spPr>
              <a:gradFill>
                <a:gsLst>
                  <a:gs pos="0">
                    <a:srgbClr val="ff8080"/>
                  </a:gs>
                  <a:gs pos="100000">
                    <a:srgbClr val="763b3b"/>
                  </a:gs>
                </a:gsLst>
                <a:path path="rect"/>
              </a:gradFill>
              <a:ln w="12600">
                <a:solidFill>
                  <a:srgbClr val="000000"/>
                </a:solidFill>
                <a:round/>
              </a:ln>
            </c:spPr>
          </c:dPt>
          <c:dPt>
            <c:idx val="6"/>
            <c:explosion val="12"/>
            <c:spPr>
              <a:gradFill>
                <a:gsLst>
                  <a:gs pos="0">
                    <a:srgbClr val="ffffff"/>
                  </a:gs>
                  <a:gs pos="100000">
                    <a:srgbClr val="0066cc"/>
                  </a:gs>
                </a:gsLst>
                <a:path path="rect"/>
              </a:gradFill>
              <a:ln w="12600">
                <a:solidFill>
                  <a:srgbClr val="000000"/>
                </a:solidFill>
                <a:round/>
              </a:ln>
            </c:spPr>
          </c:dPt>
          <c:dLbls>
            <c:numFmt formatCode="0%" sourceLinked="0"/>
            <c:dLbl>
              <c:idx val="0"/>
              <c:numFmt formatCode="0%" sourceLinked="0"/>
              <c:txPr>
                <a:bodyPr/>
                <a:lstStyle/>
                <a:p>
                  <a:pPr>
                    <a:defRPr b="1" sz="1671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dLbl>
              <c:idx val="1"/>
              <c:numFmt formatCode="0%" sourceLinked="0"/>
              <c:txPr>
                <a:bodyPr/>
                <a:lstStyle/>
                <a:p>
                  <a:pPr>
                    <a:defRPr b="0" sz="799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Складские</a:t>
                    </a:r>
                    <a:r>
                      <a:rPr b="0" sz="1300" spc="-1" strike="noStrike">
                        <a:latin typeface="Arial"/>
                      </a:rPr>
                      <a:t>
</a:t>
                    </a:r>
                    <a:r>
                      <a:rPr b="0" sz="1300" spc="-1" strike="noStrike">
                        <a:latin typeface="Arial"/>
                      </a:rP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
</c:separator>
            </c:dLbl>
            <c:dLbl>
              <c:idx val="2"/>
              <c:numFmt formatCode="0%" sourceLinked="0"/>
              <c:txPr>
                <a:bodyPr/>
                <a:lstStyle/>
                <a:p>
                  <a:pPr>
                    <a:defRPr b="0" sz="799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Жилой сектор</a:t>
                    </a:r>
                    <a:r>
                      <a:rPr b="0" sz="1300" spc="-1" strike="noStrike">
                        <a:latin typeface="Arial"/>
                      </a:rPr>
                      <a:t>
</a:t>
                    </a:r>
                    <a:r>
                      <a:rPr b="0" sz="1300" spc="-1" strike="noStrike">
                        <a:latin typeface="Arial"/>
                      </a:rPr>
                      <a:t>43%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
</c:separator>
            </c:dLbl>
            <c:dLbl>
              <c:idx val="3"/>
              <c:numFmt formatCode="0%" sourceLinked="0"/>
              <c:txPr>
                <a:bodyPr/>
                <a:lstStyle/>
                <a:p>
                  <a:pPr>
                    <a:defRPr b="0" sz="799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Открытые территории</a:t>
                    </a:r>
                    <a:r>
                      <a:rPr b="0" sz="1300" spc="-1" strike="noStrike">
                        <a:latin typeface="Arial"/>
                      </a:rPr>
                      <a:t>
</a:t>
                    </a:r>
                    <a:r>
                      <a:rPr b="0" sz="1300" spc="-1" strike="noStrike">
                        <a:latin typeface="Arial"/>
                      </a:rPr>
                      <a:t>22%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
</c:separator>
            </c:dLbl>
            <c:dLbl>
              <c:idx val="4"/>
              <c:numFmt formatCode="0%" sourceLinked="0"/>
              <c:txPr>
                <a:bodyPr/>
                <a:lstStyle/>
                <a:p>
                  <a:pPr>
                    <a:defRPr b="0" sz="799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Здания, помещения учебно-воспитательного назначения</a:t>
                    </a:r>
                    <a:r>
                      <a:rPr b="0" sz="1300" spc="-1" strike="noStrike">
                        <a:latin typeface="Arial"/>
                      </a:rPr>
                      <a:t>
</a:t>
                    </a:r>
                    <a:r>
                      <a:rPr b="0" sz="1300" spc="-1" strike="noStrike">
                        <a:latin typeface="Arial"/>
                      </a:rPr>
                      <a:t>0,4%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
</c:separator>
            </c:dLbl>
            <c:dLbl>
              <c:idx val="5"/>
              <c:numFmt formatCode="0%" sourceLinked="0"/>
              <c:txPr>
                <a:bodyPr/>
                <a:lstStyle/>
                <a:p>
                  <a:pPr>
                    <a:defRPr b="0" sz="799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Траснпортные средства</a:t>
                    </a:r>
                    <a:r>
                      <a:rPr b="0" sz="1300" spc="-1" strike="noStrike">
                        <a:latin typeface="Arial"/>
                      </a:rPr>
                      <a:t>
</a:t>
                    </a:r>
                    <a:r>
                      <a:rPr b="0" sz="1300" spc="-1" strike="noStrike">
                        <a:latin typeface="Arial"/>
                      </a:rPr>
                      <a:t>6,5%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eparator>
</c:separator>
            </c:dLbl>
            <c:dLbl>
              <c:idx val="6"/>
              <c:numFmt formatCode="0%" sourceLinked="0"/>
              <c:txPr>
                <a:bodyPr/>
                <a:lstStyle/>
                <a:p>
                  <a:pPr>
                    <a:defRPr b="1" sz="1671" spc="-1" strike="noStrike">
                      <a:solidFill>
                        <a:srgbClr val="000000"/>
                      </a:solidFill>
                      <a:latin typeface="Calibri"/>
                      <a:ea typeface="Calibri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eparator>
</c:separator>
            </c:dLbl>
            <c:txPr>
              <a:bodyPr/>
              <a:lstStyle/>
              <a:p>
                <a:pPr>
                  <a:defRPr b="0" sz="799" spc="-1" strike="noStrike">
                    <a:solidFill>
                      <a:srgbClr val="000000"/>
                    </a:solidFill>
                    <a:latin typeface="Times New Roman"/>
                    <a:ea typeface="Times New Roman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eparator>
</c:separator>
            <c:showLeaderLines val="0"/>
          </c:dLbls>
          <c:cat>
            <c:strRef>
              <c:f>categories</c:f>
              <c:strCache>
                <c:ptCount val="7"/>
                <c:pt idx="0">
                  <c:v>Прозводственные</c:v>
                </c:pt>
                <c:pt idx="1">
                  <c:v>Складские</c:v>
                </c:pt>
                <c:pt idx="2">
                  <c:v>Жилой сектор</c:v>
                </c:pt>
                <c:pt idx="3">
                  <c:v>Открытые территории</c:v>
                </c:pt>
                <c:pt idx="4">
                  <c:v>Здания, помещения учебно-воспитательного назначения</c:v>
                </c:pt>
                <c:pt idx="5">
                  <c:v>Траснпортные средства</c:v>
                </c:pt>
                <c:pt idx="6">
                  <c:v>Прочие объекты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51</c:v>
                </c:pt>
                <c:pt idx="1">
                  <c:v>22</c:v>
                </c:pt>
                <c:pt idx="2">
                  <c:v>1041</c:v>
                </c:pt>
                <c:pt idx="3">
                  <c:v>565</c:v>
                </c:pt>
                <c:pt idx="4">
                  <c:v>7</c:v>
                </c:pt>
                <c:pt idx="5">
                  <c:v>206</c:v>
                </c:pt>
                <c:pt idx="6">
                  <c:v>434</c:v>
                </c:pt>
              </c:numCache>
            </c:numRef>
          </c:val>
        </c:ser>
      </c:pie3DChart>
    </c:plotArea>
    <c:plotVisOnly val="1"/>
    <c:dispBlanksAs val="zero"/>
  </c:chart>
  <c:spPr>
    <a:noFill/>
    <a:ln w="936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7187-94B7-48EB-B808-320BB0F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Application>LibreOffice/6.4.7.2$Linux_X86_64 LibreOffice_project/40$Build-2</Application>
  <Pages>28</Pages>
  <Words>6127</Words>
  <Characters>41165</Characters>
  <CharactersWithSpaces>47050</CharactersWithSpaces>
  <Paragraphs>627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2019-02-05T07:07:00Z</dcterms:created>
  <dc:creator>УНД ОГСП - Заместитель начальника отдела - Юдин О.В.</dc:creator>
  <dc:description/>
  <dc:language>ru-RU</dc:language>
  <cp:lastModifiedBy/>
  <cp:lastPrinted>2018-08-13T13:06:00Z</cp:lastPrinted>
  <dcterms:modified xsi:type="dcterms:W3CDTF">2022-02-04T10:02:10Z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