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7" w:type="dxa"/>
        <w:jc w:val="center"/>
        <w:tblLayout w:type="fixed"/>
        <w:tblLook w:val="0000"/>
      </w:tblPr>
      <w:tblGrid>
        <w:gridCol w:w="236"/>
        <w:gridCol w:w="236"/>
        <w:gridCol w:w="1120"/>
        <w:gridCol w:w="583"/>
        <w:gridCol w:w="1657"/>
        <w:gridCol w:w="863"/>
        <w:gridCol w:w="2017"/>
        <w:gridCol w:w="236"/>
        <w:gridCol w:w="360"/>
        <w:gridCol w:w="1260"/>
        <w:gridCol w:w="1329"/>
      </w:tblGrid>
      <w:tr w:rsidR="002F46FD" w:rsidRPr="006E41AD" w:rsidTr="00B74C7B">
        <w:trPr>
          <w:trHeight w:val="2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6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center"/>
            </w:pPr>
            <w:r w:rsidRPr="006E41AD">
              <w:rPr>
                <w:bCs/>
              </w:rPr>
              <w:t>ПОЯСНИТЕЛЬНАЯ  ЗАПИСКА К БАЛАНСУ УЧРЕЖДЕНИЯ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коды</w:t>
            </w:r>
          </w:p>
        </w:tc>
      </w:tr>
      <w:tr w:rsidR="002F46FD" w:rsidRPr="006E41AD" w:rsidTr="00B74C7B">
        <w:trPr>
          <w:trHeight w:val="22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 xml:space="preserve">Форма по ОКУД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FD" w:rsidRPr="006E41AD" w:rsidRDefault="002F46FD" w:rsidP="00B75EE8">
            <w:pPr>
              <w:jc w:val="both"/>
            </w:pPr>
            <w:r w:rsidRPr="006E41AD">
              <w:t>0503</w:t>
            </w:r>
            <w:r w:rsidR="00B75EE8">
              <w:t>1</w:t>
            </w:r>
            <w:r w:rsidRPr="006E41AD">
              <w:t>60</w:t>
            </w:r>
          </w:p>
        </w:tc>
      </w:tr>
      <w:tr w:rsidR="002F46FD" w:rsidRPr="006E41AD" w:rsidTr="00B74C7B">
        <w:trPr>
          <w:trHeight w:val="2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6C17F0">
            <w:pPr>
              <w:jc w:val="center"/>
            </w:pPr>
            <w:r>
              <w:t xml:space="preserve">на 01 </w:t>
            </w:r>
            <w:r w:rsidR="006C17F0">
              <w:t>янва</w:t>
            </w:r>
            <w:r w:rsidR="00A5170A">
              <w:t>ря</w:t>
            </w:r>
            <w:r w:rsidRPr="006E41AD">
              <w:t xml:space="preserve"> 201</w:t>
            </w:r>
            <w:r w:rsidR="006C17F0">
              <w:t>9</w:t>
            </w:r>
            <w:r>
              <w:t xml:space="preserve"> </w:t>
            </w:r>
            <w:r w:rsidRPr="006E41AD">
              <w:t>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 xml:space="preserve">Дата  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FD" w:rsidRPr="006E41AD" w:rsidRDefault="002F46FD" w:rsidP="006C17F0">
            <w:pPr>
              <w:jc w:val="both"/>
            </w:pPr>
            <w:r>
              <w:t>01 |</w:t>
            </w:r>
            <w:r w:rsidR="006C17F0">
              <w:t>01</w:t>
            </w:r>
            <w:r w:rsidRPr="006E41AD">
              <w:t>|1</w:t>
            </w:r>
            <w:r w:rsidR="006C17F0">
              <w:t>9</w:t>
            </w:r>
          </w:p>
        </w:tc>
      </w:tr>
      <w:tr w:rsidR="002F46FD" w:rsidRPr="006E41AD" w:rsidTr="00B74C7B">
        <w:trPr>
          <w:trHeight w:val="225"/>
          <w:jc w:val="center"/>
        </w:trPr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Учреждение (главный распорядитель  (распорядитель),  получатель)</w:t>
            </w:r>
          </w:p>
        </w:tc>
        <w:tc>
          <w:tcPr>
            <w:tcW w:w="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6FD" w:rsidRPr="006E41AD" w:rsidRDefault="002F46FD" w:rsidP="00B74C7B">
            <w:r>
              <w:t>Главное управление МЧС России по Республике Саха (Якутия)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 xml:space="preserve">по ОКПО  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center"/>
            </w:pPr>
            <w:r w:rsidRPr="00B3196C">
              <w:t>08928954</w:t>
            </w:r>
          </w:p>
        </w:tc>
      </w:tr>
      <w:tr w:rsidR="002F46FD" w:rsidRPr="006E41AD" w:rsidTr="00B74C7B">
        <w:trPr>
          <w:trHeight w:val="225"/>
          <w:jc w:val="center"/>
        </w:trPr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Наименование бюджета</w:t>
            </w:r>
          </w:p>
        </w:tc>
        <w:tc>
          <w:tcPr>
            <w:tcW w:w="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федеральный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 xml:space="preserve">по ОКАТО  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center"/>
            </w:pPr>
            <w:r w:rsidRPr="006E41AD">
              <w:t>98701000</w:t>
            </w:r>
          </w:p>
        </w:tc>
      </w:tr>
      <w:tr w:rsidR="002F46FD" w:rsidRPr="006E41AD" w:rsidTr="00B74C7B">
        <w:trPr>
          <w:trHeight w:val="225"/>
          <w:jc w:val="center"/>
        </w:trPr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Периодичность</w:t>
            </w:r>
          </w:p>
        </w:tc>
        <w:tc>
          <w:tcPr>
            <w:tcW w:w="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6FD" w:rsidRPr="006E41AD" w:rsidRDefault="002F46FD" w:rsidP="00997BE1">
            <w:pPr>
              <w:jc w:val="both"/>
            </w:pPr>
            <w:r w:rsidRPr="006E41AD">
              <w:t xml:space="preserve"> </w:t>
            </w:r>
            <w:r w:rsidR="00997BE1">
              <w:t>квартальная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Глава по БК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center"/>
            </w:pPr>
            <w:r>
              <w:t>177</w:t>
            </w:r>
          </w:p>
        </w:tc>
      </w:tr>
      <w:tr w:rsidR="002F46FD" w:rsidRPr="006E41AD" w:rsidTr="00B74C7B">
        <w:trPr>
          <w:trHeight w:val="225"/>
          <w:jc w:val="center"/>
        </w:trPr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Единица измерения</w:t>
            </w:r>
          </w:p>
        </w:tc>
        <w:tc>
          <w:tcPr>
            <w:tcW w:w="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>руб.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both"/>
            </w:pPr>
            <w:r w:rsidRPr="006E41AD">
              <w:t xml:space="preserve">по ОКЕИ  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6FD" w:rsidRPr="006E41AD" w:rsidRDefault="002F46FD" w:rsidP="00B74C7B">
            <w:pPr>
              <w:jc w:val="center"/>
            </w:pPr>
            <w:r w:rsidRPr="006E41AD">
              <w:t>383</w:t>
            </w:r>
          </w:p>
        </w:tc>
      </w:tr>
    </w:tbl>
    <w:p w:rsidR="002F46FD" w:rsidRPr="006E41AD" w:rsidRDefault="002F46FD" w:rsidP="002F46FD">
      <w:pPr>
        <w:jc w:val="both"/>
      </w:pPr>
    </w:p>
    <w:p w:rsidR="005D44CF" w:rsidRDefault="005D44CF" w:rsidP="002F46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</w:p>
    <w:p w:rsidR="002F46FD" w:rsidRDefault="002F46FD" w:rsidP="002F46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  <w:r w:rsidRPr="002C7A61">
        <w:rPr>
          <w:b/>
          <w:sz w:val="26"/>
          <w:szCs w:val="26"/>
          <w:u w:val="single"/>
        </w:rPr>
        <w:t>Раздел 1 "Организационная структура субъекта бюджетной отчетности"</w:t>
      </w:r>
    </w:p>
    <w:p w:rsidR="00B75EE8" w:rsidRDefault="00B75EE8" w:rsidP="002F46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</w:p>
    <w:p w:rsidR="00577945" w:rsidRPr="005D44CF" w:rsidRDefault="00577945" w:rsidP="00577945">
      <w:pPr>
        <w:pStyle w:val="1"/>
        <w:ind w:firstLine="708"/>
        <w:jc w:val="both"/>
        <w:rPr>
          <w:rFonts w:ascii="Times New Roman" w:hAnsi="Times New Roman"/>
          <w:b w:val="0"/>
          <w:i/>
          <w:color w:val="auto"/>
          <w:u w:val="single"/>
        </w:rPr>
      </w:pPr>
      <w:r w:rsidRPr="005D44CF">
        <w:rPr>
          <w:rFonts w:ascii="Times New Roman" w:hAnsi="Times New Roman"/>
          <w:b w:val="0"/>
          <w:i/>
          <w:color w:val="auto"/>
          <w:u w:val="single"/>
        </w:rPr>
        <w:t>Сведения об основных направлениях деятельности (таблица № 1).</w:t>
      </w:r>
    </w:p>
    <w:p w:rsidR="00577945" w:rsidRDefault="00577945" w:rsidP="00577945">
      <w:pPr>
        <w:pStyle w:val="1"/>
        <w:ind w:firstLine="708"/>
        <w:jc w:val="both"/>
        <w:rPr>
          <w:rFonts w:ascii="Times New Roman" w:hAnsi="Times New Roman"/>
          <w:b w:val="0"/>
          <w:bCs w:val="0"/>
          <w:color w:val="auto"/>
        </w:rPr>
      </w:pPr>
      <w:proofErr w:type="gramStart"/>
      <w:r w:rsidRPr="00577945">
        <w:rPr>
          <w:rFonts w:ascii="Times New Roman" w:hAnsi="Times New Roman"/>
          <w:b w:val="0"/>
          <w:color w:val="auto"/>
        </w:rPr>
        <w:t>Главное управление МЧС России по Республике Саха (Якутия) в своей деятельности руководствуется</w:t>
      </w:r>
      <w:r w:rsidRPr="00577945">
        <w:rPr>
          <w:rFonts w:ascii="Times New Roman" w:hAnsi="Times New Roman"/>
          <w:b w:val="0"/>
          <w:bCs w:val="0"/>
          <w:color w:val="auto"/>
        </w:rPr>
        <w:t xml:space="preserve"> приказом МЧС РФ от 6 августа 2004 г. N 372 "Об утверждении Положения о территориальном</w:t>
      </w:r>
      <w:r w:rsidRPr="002C7A61">
        <w:rPr>
          <w:rFonts w:ascii="Times New Roman" w:hAnsi="Times New Roman"/>
          <w:b w:val="0"/>
          <w:bCs w:val="0"/>
          <w:color w:val="auto"/>
        </w:rPr>
        <w:t xml:space="preserve">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</w:t>
      </w:r>
      <w:proofErr w:type="gramEnd"/>
      <w:r w:rsidRPr="002C7A61">
        <w:rPr>
          <w:rFonts w:ascii="Times New Roman" w:hAnsi="Times New Roman"/>
          <w:b w:val="0"/>
          <w:bCs w:val="0"/>
          <w:color w:val="auto"/>
        </w:rPr>
        <w:t xml:space="preserve"> Федерации" и является органом, специально уполномоченным решать задачи в области гражданской обороны и задачи по предупреждению и ликвидации чрезвычайных ситуаций, предназначенным для осуществления функций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Республики Саха (Якутия). </w:t>
      </w:r>
    </w:p>
    <w:p w:rsidR="00822A81" w:rsidRPr="00822A81" w:rsidRDefault="00822A81" w:rsidP="00822A81"/>
    <w:p w:rsidR="00577945" w:rsidRPr="002C7A61" w:rsidRDefault="00577945" w:rsidP="00577945">
      <w:pPr>
        <w:ind w:firstLine="708"/>
        <w:jc w:val="both"/>
      </w:pPr>
      <w:r w:rsidRPr="002C7A61">
        <w:t>Основными задачами Главного управления МЧС России по Республике Саха (Якутия) являются:</w:t>
      </w:r>
    </w:p>
    <w:p w:rsidR="00577945" w:rsidRPr="002C7A61" w:rsidRDefault="00577945" w:rsidP="00577945">
      <w:pPr>
        <w:ind w:firstLine="708"/>
        <w:jc w:val="both"/>
      </w:pPr>
      <w:r w:rsidRPr="002C7A61">
        <w:t>- реализация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Республики Саха (Якутия) в пределах установленных полномочий;</w:t>
      </w:r>
    </w:p>
    <w:p w:rsidR="00577945" w:rsidRPr="002C7A61" w:rsidRDefault="00577945" w:rsidP="00577945">
      <w:pPr>
        <w:ind w:firstLine="708"/>
        <w:jc w:val="both"/>
      </w:pPr>
      <w:r w:rsidRPr="002C7A61">
        <w:t>- осуществление управления в пределах своей компетенции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577945" w:rsidRPr="002C7A61" w:rsidRDefault="00577945" w:rsidP="00577945">
      <w:pPr>
        <w:ind w:firstLine="708"/>
        <w:jc w:val="both"/>
      </w:pPr>
      <w:r w:rsidRPr="002C7A61">
        <w:t>- осуществление в установленном порядке надзорных и контрольных функций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Республики Саха (Якутия);</w:t>
      </w:r>
    </w:p>
    <w:p w:rsidR="00577945" w:rsidRPr="002C7A61" w:rsidRDefault="00577945" w:rsidP="0057794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  <w:r w:rsidRPr="002C7A61">
        <w:t>- осуществление деятельности в пределах своей компетенции по организации и ведению гражданской обороны, экстренному реагированию при чрезвычайных ситуациях, защите населения и территорий от чрезвычайных ситуаций, обеспечению пожарной безопасности и безопасности людей на водных объектах на территории Республики Саха (Якутия).</w:t>
      </w:r>
    </w:p>
    <w:p w:rsidR="002F46FD" w:rsidRPr="00883CCA" w:rsidRDefault="002F46FD" w:rsidP="002F46F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</w:rPr>
      </w:pPr>
      <w:r w:rsidRPr="00883CCA">
        <w:rPr>
          <w:rFonts w:ascii="Times New Roman" w:hAnsi="Times New Roman"/>
          <w:b w:val="0"/>
          <w:color w:val="auto"/>
        </w:rPr>
        <w:lastRenderedPageBreak/>
        <w:t xml:space="preserve">Полное наименование: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Саха (Якутия) </w:t>
      </w:r>
    </w:p>
    <w:p w:rsidR="002F46FD" w:rsidRPr="00883CCA" w:rsidRDefault="002F46FD" w:rsidP="002F46F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883CCA">
        <w:rPr>
          <w:rFonts w:ascii="Times New Roman" w:hAnsi="Times New Roman"/>
          <w:b w:val="0"/>
          <w:color w:val="auto"/>
        </w:rPr>
        <w:t xml:space="preserve">Сокращенное наименование: Главное управление МЧС России по Республике Саха (Якутия)  </w:t>
      </w:r>
    </w:p>
    <w:p w:rsidR="002F46FD" w:rsidRDefault="002F46FD" w:rsidP="002F46FD">
      <w:pPr>
        <w:ind w:firstLine="708"/>
      </w:pPr>
      <w:r>
        <w:t xml:space="preserve">Юридический почтовый адрес и адрес местонахождения: </w:t>
      </w:r>
      <w:r w:rsidRPr="00F73471">
        <w:t xml:space="preserve">677009, Саха /Якутия/ </w:t>
      </w:r>
      <w:proofErr w:type="spellStart"/>
      <w:r w:rsidRPr="00F73471">
        <w:t>Респ</w:t>
      </w:r>
      <w:proofErr w:type="spellEnd"/>
      <w:r w:rsidRPr="00F73471">
        <w:t xml:space="preserve">, Якутск г, </w:t>
      </w:r>
      <w:proofErr w:type="spellStart"/>
      <w:r w:rsidRPr="00F73471">
        <w:t>Кальвица</w:t>
      </w:r>
      <w:proofErr w:type="spellEnd"/>
      <w:r w:rsidRPr="00F73471">
        <w:t xml:space="preserve"> </w:t>
      </w:r>
      <w:proofErr w:type="spellStart"/>
      <w:proofErr w:type="gramStart"/>
      <w:r w:rsidRPr="00F73471">
        <w:t>ул</w:t>
      </w:r>
      <w:proofErr w:type="spellEnd"/>
      <w:proofErr w:type="gramEnd"/>
      <w:r w:rsidRPr="00F73471">
        <w:t>, дом № 16, корпус 2</w:t>
      </w:r>
    </w:p>
    <w:p w:rsidR="002F46FD" w:rsidRPr="00F73471" w:rsidRDefault="002F46FD" w:rsidP="002F46FD">
      <w:pPr>
        <w:ind w:firstLine="567"/>
        <w:jc w:val="both"/>
      </w:pPr>
      <w:proofErr w:type="gramStart"/>
      <w:r w:rsidRPr="00F73471">
        <w:t>Учреждение в своей деятельности руководствуется приказом МЧС РФ от 6 августа 2004 г. N 372 "Об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Федерации"</w:t>
      </w:r>
      <w:proofErr w:type="gramEnd"/>
    </w:p>
    <w:p w:rsidR="002F46FD" w:rsidRPr="00C00072" w:rsidRDefault="002F46FD" w:rsidP="002F46FD">
      <w:pPr>
        <w:ind w:firstLine="708"/>
        <w:jc w:val="both"/>
      </w:pPr>
      <w:r w:rsidRPr="00883CCA">
        <w:t xml:space="preserve">Учредитель - Министерство Российской Федерации по делам гражданской обороны, чрезвычайным ситуациям и ликвидации последствий стихийных бедствий, </w:t>
      </w:r>
      <w:proofErr w:type="gramStart"/>
      <w:r>
        <w:t>г</w:t>
      </w:r>
      <w:proofErr w:type="gramEnd"/>
      <w:r>
        <w:t>. Москва</w:t>
      </w:r>
      <w:r w:rsidRPr="00C00072">
        <w:t>, Театральный пр.,3</w:t>
      </w:r>
    </w:p>
    <w:p w:rsidR="002F46FD" w:rsidRPr="002C7A61" w:rsidRDefault="002F46FD" w:rsidP="002F46FD">
      <w:pPr>
        <w:jc w:val="both"/>
        <w:rPr>
          <w:color w:val="000000"/>
        </w:rPr>
      </w:pPr>
      <w:r w:rsidRPr="00C00072">
        <w:rPr>
          <w:b/>
        </w:rPr>
        <w:tab/>
      </w:r>
      <w:proofErr w:type="gramStart"/>
      <w:r w:rsidRPr="00C00072">
        <w:t>Главное управление МЧС России по Республике Саха (Якутия) зарегистрировано в Межрайонной инспекции МНС №5 по Республике Саха (Якутия) 25.11.2004г., выдано свидетельство о государственной регистрации № 000149737 серия 14;</w:t>
      </w:r>
      <w:r w:rsidRPr="00C00072">
        <w:rPr>
          <w:color w:val="000000"/>
        </w:rPr>
        <w:t xml:space="preserve"> свидетельство о постановке на учет серия 14 № 000156711 и свидетельство о внесении в Единый государственный реестр юридических лиц серия 14 № 001707253, присвоен ИНН 1435154181, КПП 143501001, основной ГРН 1041402129031.</w:t>
      </w:r>
      <w:proofErr w:type="gramEnd"/>
    </w:p>
    <w:p w:rsidR="00822A81" w:rsidRDefault="00822A81" w:rsidP="002F46F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F46FD" w:rsidRPr="002C7A61" w:rsidRDefault="002F46FD" w:rsidP="002F46F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7A61">
        <w:rPr>
          <w:color w:val="000000"/>
        </w:rPr>
        <w:t xml:space="preserve">Имеет лицевые счета в УФК по Республике Саха (Якутия) по бюджетной деятельности:  </w:t>
      </w:r>
    </w:p>
    <w:p w:rsidR="002F46FD" w:rsidRPr="002C7A61" w:rsidRDefault="002F46FD" w:rsidP="002F46F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7A61">
        <w:rPr>
          <w:color w:val="000000"/>
        </w:rPr>
        <w:t>01161783460- лицевой счет распорядителя бюджетных средств;</w:t>
      </w:r>
    </w:p>
    <w:p w:rsidR="002F46FD" w:rsidRPr="002C7A61" w:rsidRDefault="002F46FD" w:rsidP="002F46FD">
      <w:pPr>
        <w:ind w:firstLine="709"/>
        <w:jc w:val="both"/>
      </w:pPr>
      <w:r w:rsidRPr="002C7A61">
        <w:t>03161783460 – лицевой счет получателя бюджетных средств;</w:t>
      </w:r>
    </w:p>
    <w:p w:rsidR="002F46FD" w:rsidRPr="002C7A61" w:rsidRDefault="002F46FD" w:rsidP="002F46FD">
      <w:pPr>
        <w:ind w:firstLine="709"/>
        <w:jc w:val="both"/>
      </w:pPr>
      <w:r w:rsidRPr="002C7A61">
        <w:t>04161783460 – лицевой счет администратора доходов бюджета;</w:t>
      </w:r>
    </w:p>
    <w:p w:rsidR="002F46FD" w:rsidRPr="002C7A61" w:rsidRDefault="002F46FD" w:rsidP="002F46FD">
      <w:pPr>
        <w:ind w:firstLine="709"/>
        <w:jc w:val="both"/>
      </w:pPr>
      <w:r w:rsidRPr="002C7A61">
        <w:t>05161783460 - лицевой счет получателя, осуществляющего операции со средствами во временном распоряжении.</w:t>
      </w:r>
    </w:p>
    <w:p w:rsidR="002F46FD" w:rsidRPr="002C7A61" w:rsidRDefault="002F46FD" w:rsidP="002F46FD">
      <w:pPr>
        <w:ind w:firstLine="709"/>
        <w:jc w:val="both"/>
      </w:pPr>
      <w:r w:rsidRPr="002C7A61">
        <w:t xml:space="preserve">08161783460- лицевой счет  администратора источников внутреннего финансового дефицита бюджета. </w:t>
      </w:r>
    </w:p>
    <w:p w:rsidR="002F46FD" w:rsidRDefault="002F46FD" w:rsidP="002F46F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7A61">
        <w:rPr>
          <w:color w:val="000000"/>
        </w:rPr>
        <w:t xml:space="preserve">Главное управление МЧС России по Республике Саха (Якутия)  включено в </w:t>
      </w:r>
      <w:r w:rsidRPr="00C00072">
        <w:rPr>
          <w:color w:val="000000"/>
        </w:rPr>
        <w:t>отраслевой раздел МЧС России общероссийского классификатора предприятий и организаций: ОКПО - 08928954, ОКОГУ - 1311500, ОКТМО - 98701000, ОКФС -  12, ОКОПФ - 75104.</w:t>
      </w:r>
    </w:p>
    <w:p w:rsidR="002F46FD" w:rsidRDefault="002F46FD" w:rsidP="002F46FD">
      <w:pPr>
        <w:ind w:firstLine="708"/>
        <w:jc w:val="both"/>
        <w:rPr>
          <w:i/>
          <w:u w:val="single"/>
        </w:rPr>
      </w:pPr>
    </w:p>
    <w:p w:rsidR="002F46FD" w:rsidRDefault="002F46FD" w:rsidP="002F46FD">
      <w:pPr>
        <w:ind w:firstLine="708"/>
        <w:jc w:val="both"/>
        <w:rPr>
          <w:i/>
          <w:u w:val="single"/>
        </w:rPr>
      </w:pPr>
      <w:r w:rsidRPr="002C7A61">
        <w:rPr>
          <w:i/>
          <w:u w:val="single"/>
        </w:rPr>
        <w:t xml:space="preserve">Сведения о количестве подведомственных учреждений </w:t>
      </w:r>
      <w:r w:rsidR="00755C24">
        <w:rPr>
          <w:i/>
          <w:u w:val="single"/>
        </w:rPr>
        <w:t>(ф.0503161)</w:t>
      </w:r>
      <w:r w:rsidRPr="002C7A61">
        <w:rPr>
          <w:i/>
          <w:u w:val="single"/>
        </w:rPr>
        <w:t xml:space="preserve"> </w:t>
      </w:r>
    </w:p>
    <w:p w:rsidR="005D44CF" w:rsidRPr="002C7A61" w:rsidRDefault="005D44CF" w:rsidP="002F46FD">
      <w:pPr>
        <w:ind w:firstLine="708"/>
        <w:jc w:val="both"/>
        <w:rPr>
          <w:i/>
          <w:u w:val="single"/>
        </w:rPr>
      </w:pPr>
    </w:p>
    <w:p w:rsidR="00473829" w:rsidRDefault="002F46FD" w:rsidP="002F46FD">
      <w:pPr>
        <w:ind w:firstLine="567"/>
        <w:jc w:val="both"/>
      </w:pPr>
      <w:r w:rsidRPr="002C7A61">
        <w:t>Главное управление МЧС России по Республике Саха (Якутия) является распорядителем средств федерал</w:t>
      </w:r>
      <w:r>
        <w:t>ьного бюджета</w:t>
      </w:r>
      <w:r w:rsidR="000D211C">
        <w:t>, переход на трех</w:t>
      </w:r>
      <w:r>
        <w:t>уровн</w:t>
      </w:r>
      <w:r w:rsidR="000D211C">
        <w:t>евое финансирование</w:t>
      </w:r>
      <w:r>
        <w:t xml:space="preserve">, имеет </w:t>
      </w:r>
      <w:r w:rsidR="00B75EE8">
        <w:t>12</w:t>
      </w:r>
      <w:r>
        <w:t xml:space="preserve"> оперативно подчиненн</w:t>
      </w:r>
      <w:r w:rsidR="00B75EE8">
        <w:t>ых подразделений  (ф.0503161), в т.ч. 11 казенных учреждений, 1</w:t>
      </w:r>
      <w:r>
        <w:t xml:space="preserve"> бюджетное </w:t>
      </w:r>
      <w:r w:rsidR="00473829">
        <w:t>учреждение.</w:t>
      </w:r>
    </w:p>
    <w:p w:rsidR="002F46FD" w:rsidRPr="002C7A61" w:rsidRDefault="002F46FD" w:rsidP="002F46FD">
      <w:pPr>
        <w:ind w:firstLine="708"/>
        <w:jc w:val="both"/>
      </w:pPr>
      <w:r w:rsidRPr="002C7A61">
        <w:t>Финансовое обеспечен</w:t>
      </w:r>
      <w:r>
        <w:t>ие Главного упра</w:t>
      </w:r>
      <w:r w:rsidRPr="002C7A61">
        <w:t>вления МЧС  России по Республике Саха (Якутия) осуществляется путем получения финансирования на распорядительный счет Главного управления и дальнейшего его распределения н</w:t>
      </w:r>
      <w:r>
        <w:t>а лицевые счета подведомственн</w:t>
      </w:r>
      <w:r w:rsidR="00473829">
        <w:t>ых</w:t>
      </w:r>
      <w:r>
        <w:t xml:space="preserve"> </w:t>
      </w:r>
      <w:r w:rsidR="00473829">
        <w:t>подразделений</w:t>
      </w:r>
      <w:r w:rsidRPr="002C7A61">
        <w:t>.</w:t>
      </w:r>
    </w:p>
    <w:p w:rsidR="00473829" w:rsidRDefault="00473829" w:rsidP="002F46FD">
      <w:pPr>
        <w:ind w:firstLine="708"/>
        <w:jc w:val="both"/>
      </w:pPr>
      <w:r>
        <w:t>Учреждения самостоятельно осуществляют финансово - хозяйственную деятельность, имеют самостоятельный баланс и лицевые счета, облада</w:t>
      </w:r>
      <w:r w:rsidR="001C3029">
        <w:t>ю</w:t>
      </w:r>
      <w:r>
        <w:t>т обособленным имуществом, которое закреплено за ними на праве оперативного управления. Бюджетное учреждение выполняет государственное задание, а также ведет приносящую доход деятельность.</w:t>
      </w:r>
    </w:p>
    <w:p w:rsidR="005D44CF" w:rsidRDefault="005D44CF" w:rsidP="002F46FD">
      <w:pPr>
        <w:ind w:firstLine="708"/>
        <w:jc w:val="both"/>
      </w:pPr>
    </w:p>
    <w:p w:rsidR="005D44CF" w:rsidRDefault="005D44CF" w:rsidP="002F46FD">
      <w:pPr>
        <w:ind w:firstLine="708"/>
        <w:jc w:val="both"/>
      </w:pPr>
    </w:p>
    <w:p w:rsidR="005D44CF" w:rsidRPr="00F53E3B" w:rsidRDefault="00755C24" w:rsidP="0038456C">
      <w:pPr>
        <w:jc w:val="both"/>
        <w:rPr>
          <w:b/>
        </w:rPr>
      </w:pPr>
      <w:r w:rsidRPr="00F53E3B">
        <w:rPr>
          <w:b/>
        </w:rPr>
        <w:lastRenderedPageBreak/>
        <w:t>Казенные учреждения</w:t>
      </w:r>
    </w:p>
    <w:p w:rsidR="0038456C" w:rsidRDefault="0038456C" w:rsidP="002F46FD">
      <w:pPr>
        <w:ind w:firstLine="708"/>
        <w:jc w:val="both"/>
      </w:pPr>
    </w:p>
    <w:tbl>
      <w:tblPr>
        <w:tblW w:w="9477" w:type="dxa"/>
        <w:jc w:val="center"/>
        <w:tblInd w:w="93" w:type="dxa"/>
        <w:tblLayout w:type="fixed"/>
        <w:tblLook w:val="04A0"/>
      </w:tblPr>
      <w:tblGrid>
        <w:gridCol w:w="582"/>
        <w:gridCol w:w="5434"/>
        <w:gridCol w:w="3461"/>
      </w:tblGrid>
      <w:tr w:rsidR="0038456C" w:rsidRPr="005D44CF" w:rsidTr="00C61F2B">
        <w:trPr>
          <w:trHeight w:val="330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E3B" w:rsidRPr="00F53E3B" w:rsidRDefault="00F53E3B" w:rsidP="009335E0">
            <w:pPr>
              <w:jc w:val="center"/>
              <w:rPr>
                <w:b/>
              </w:rPr>
            </w:pPr>
          </w:p>
          <w:p w:rsidR="0038456C" w:rsidRPr="00F53E3B" w:rsidRDefault="0038456C" w:rsidP="00F53E3B">
            <w:pPr>
              <w:rPr>
                <w:b/>
              </w:rPr>
            </w:pPr>
            <w:r w:rsidRPr="00F53E3B">
              <w:rPr>
                <w:b/>
              </w:rPr>
              <w:t xml:space="preserve">№ </w:t>
            </w:r>
            <w:proofErr w:type="spellStart"/>
            <w:proofErr w:type="gramStart"/>
            <w:r w:rsidRPr="00F53E3B">
              <w:rPr>
                <w:b/>
              </w:rPr>
              <w:t>п</w:t>
            </w:r>
            <w:proofErr w:type="spellEnd"/>
            <w:proofErr w:type="gramEnd"/>
            <w:r w:rsidRPr="00F53E3B">
              <w:rPr>
                <w:b/>
              </w:rPr>
              <w:t>/</w:t>
            </w:r>
            <w:proofErr w:type="spellStart"/>
            <w:r w:rsidRPr="00F53E3B">
              <w:rPr>
                <w:b/>
              </w:rPr>
              <w:t>п</w:t>
            </w:r>
            <w:proofErr w:type="spellEnd"/>
          </w:p>
          <w:p w:rsidR="00F53E3B" w:rsidRPr="00F53E3B" w:rsidRDefault="00F53E3B" w:rsidP="00F53E3B">
            <w:pPr>
              <w:rPr>
                <w:b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3B" w:rsidRPr="00F53E3B" w:rsidRDefault="00F53E3B" w:rsidP="009335E0">
            <w:pPr>
              <w:jc w:val="center"/>
              <w:rPr>
                <w:b/>
              </w:rPr>
            </w:pPr>
          </w:p>
          <w:p w:rsidR="0038456C" w:rsidRPr="00F53E3B" w:rsidRDefault="0038456C" w:rsidP="009335E0">
            <w:pPr>
              <w:jc w:val="center"/>
              <w:rPr>
                <w:b/>
              </w:rPr>
            </w:pPr>
            <w:r w:rsidRPr="00F53E3B">
              <w:rPr>
                <w:b/>
              </w:rPr>
              <w:t>Наименование подразделения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3B" w:rsidRPr="00F53E3B" w:rsidRDefault="00F53E3B" w:rsidP="009335E0">
            <w:pPr>
              <w:jc w:val="center"/>
              <w:rPr>
                <w:b/>
              </w:rPr>
            </w:pPr>
          </w:p>
          <w:p w:rsidR="0038456C" w:rsidRPr="00F53E3B" w:rsidRDefault="0038456C" w:rsidP="009335E0">
            <w:pPr>
              <w:jc w:val="center"/>
              <w:rPr>
                <w:b/>
              </w:rPr>
            </w:pPr>
            <w:r w:rsidRPr="00F53E3B">
              <w:rPr>
                <w:b/>
              </w:rPr>
              <w:t>Место нахождения</w:t>
            </w:r>
          </w:p>
        </w:tc>
      </w:tr>
      <w:tr w:rsidR="0038456C" w:rsidRPr="005D44CF" w:rsidTr="00C61F2B">
        <w:trPr>
          <w:trHeight w:val="330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C" w:rsidRPr="005D44CF" w:rsidRDefault="009335E0" w:rsidP="009335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56C" w:rsidRPr="005D44CF" w:rsidRDefault="0038456C" w:rsidP="00F53E3B">
            <w:pPr>
              <w:rPr>
                <w:color w:val="000000"/>
                <w:sz w:val="26"/>
                <w:szCs w:val="26"/>
              </w:rPr>
            </w:pPr>
            <w:r w:rsidRPr="005D44CF">
              <w:rPr>
                <w:color w:val="000000"/>
                <w:sz w:val="26"/>
                <w:szCs w:val="26"/>
              </w:rPr>
              <w:t>ФГКУ "1 отряд ФПС по РС (Я)"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56C" w:rsidRDefault="0038456C" w:rsidP="00F53E3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Алданский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</w:t>
            </w:r>
          </w:p>
          <w:p w:rsidR="0038456C" w:rsidRPr="005D44CF" w:rsidRDefault="00D06E4E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</w:t>
            </w:r>
            <w:r w:rsidR="00C61F2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Алдан</w:t>
            </w:r>
          </w:p>
        </w:tc>
      </w:tr>
      <w:tr w:rsidR="0038456C" w:rsidRPr="005D44CF" w:rsidTr="00C61F2B">
        <w:trPr>
          <w:trHeight w:val="330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C" w:rsidRPr="005D44CF" w:rsidRDefault="009335E0" w:rsidP="009335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56C" w:rsidRPr="005D44CF" w:rsidRDefault="0038456C" w:rsidP="00F53E3B">
            <w:pPr>
              <w:rPr>
                <w:color w:val="000000"/>
                <w:sz w:val="26"/>
                <w:szCs w:val="26"/>
              </w:rPr>
            </w:pPr>
            <w:r w:rsidRPr="005D44CF">
              <w:rPr>
                <w:color w:val="000000"/>
                <w:sz w:val="26"/>
                <w:szCs w:val="26"/>
              </w:rPr>
              <w:t>ФГКУ "2 отряд ФПС по РС (Я)"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5E0" w:rsidRDefault="009335E0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Ленский район</w:t>
            </w:r>
          </w:p>
          <w:p w:rsidR="0038456C" w:rsidRPr="005D44CF" w:rsidRDefault="00D06E4E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</w:t>
            </w:r>
            <w:r w:rsidR="00C61F2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Ленск</w:t>
            </w:r>
          </w:p>
        </w:tc>
      </w:tr>
      <w:tr w:rsidR="0038456C" w:rsidRPr="005D44CF" w:rsidTr="00C61F2B">
        <w:trPr>
          <w:trHeight w:val="330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C" w:rsidRPr="005D44CF" w:rsidRDefault="009335E0" w:rsidP="009335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56C" w:rsidRPr="005D44CF" w:rsidRDefault="0038456C" w:rsidP="00F53E3B">
            <w:pPr>
              <w:rPr>
                <w:color w:val="000000"/>
                <w:sz w:val="26"/>
                <w:szCs w:val="26"/>
              </w:rPr>
            </w:pPr>
            <w:r w:rsidRPr="005D44CF">
              <w:rPr>
                <w:color w:val="000000"/>
                <w:sz w:val="26"/>
                <w:szCs w:val="26"/>
              </w:rPr>
              <w:t>ФГКУ "3 отряд ФПС по РС (Я)"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56C" w:rsidRDefault="0038456C" w:rsidP="00F53E3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Мирнинский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</w:t>
            </w:r>
          </w:p>
          <w:p w:rsidR="0038456C" w:rsidRPr="005D44CF" w:rsidRDefault="00D06E4E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</w:t>
            </w:r>
            <w:r w:rsidR="00C61F2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Мирный</w:t>
            </w:r>
          </w:p>
        </w:tc>
      </w:tr>
      <w:tr w:rsidR="0038456C" w:rsidRPr="005D44CF" w:rsidTr="00C61F2B">
        <w:trPr>
          <w:trHeight w:val="330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C" w:rsidRPr="005D44CF" w:rsidRDefault="009335E0" w:rsidP="009335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56C" w:rsidRPr="005D44CF" w:rsidRDefault="0038456C" w:rsidP="00F53E3B">
            <w:pPr>
              <w:rPr>
                <w:color w:val="000000"/>
                <w:sz w:val="26"/>
                <w:szCs w:val="26"/>
              </w:rPr>
            </w:pPr>
            <w:r w:rsidRPr="005D44CF">
              <w:rPr>
                <w:color w:val="000000"/>
                <w:sz w:val="26"/>
                <w:szCs w:val="26"/>
              </w:rPr>
              <w:t>ФГКУ "4 отряд ФПС по РС (Я)"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56C" w:rsidRDefault="0038456C" w:rsidP="00F53E3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Нерюнгринский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</w:t>
            </w:r>
          </w:p>
          <w:p w:rsidR="0038456C" w:rsidRPr="005D44CF" w:rsidRDefault="00D06E4E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</w:t>
            </w:r>
            <w:r w:rsidR="00C61F2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Нерюнгри</w:t>
            </w:r>
          </w:p>
        </w:tc>
      </w:tr>
      <w:tr w:rsidR="0038456C" w:rsidRPr="005D44CF" w:rsidTr="00C61F2B">
        <w:trPr>
          <w:trHeight w:val="330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C" w:rsidRPr="005D44CF" w:rsidRDefault="009335E0" w:rsidP="009335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56C" w:rsidRPr="005D44CF" w:rsidRDefault="0038456C" w:rsidP="00F53E3B">
            <w:pPr>
              <w:rPr>
                <w:color w:val="000000"/>
                <w:sz w:val="26"/>
                <w:szCs w:val="26"/>
              </w:rPr>
            </w:pPr>
            <w:r w:rsidRPr="005D44CF">
              <w:rPr>
                <w:color w:val="000000"/>
                <w:sz w:val="26"/>
                <w:szCs w:val="26"/>
              </w:rPr>
              <w:t>ФГКУ "5 отряд ФПС по РС (Я)"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56C" w:rsidRDefault="0038456C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Якутск</w:t>
            </w:r>
          </w:p>
          <w:p w:rsidR="0038456C" w:rsidRPr="005D44CF" w:rsidRDefault="0038456C" w:rsidP="00F53E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8456C" w:rsidRPr="005D44CF" w:rsidTr="00C61F2B">
        <w:trPr>
          <w:trHeight w:val="330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C" w:rsidRPr="005D44CF" w:rsidRDefault="009335E0" w:rsidP="009335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56C" w:rsidRPr="005D44CF" w:rsidRDefault="0038456C" w:rsidP="00F53E3B">
            <w:pPr>
              <w:rPr>
                <w:color w:val="000000"/>
                <w:sz w:val="26"/>
                <w:szCs w:val="26"/>
              </w:rPr>
            </w:pPr>
            <w:r w:rsidRPr="005D44CF">
              <w:rPr>
                <w:color w:val="000000"/>
                <w:sz w:val="26"/>
                <w:szCs w:val="26"/>
              </w:rPr>
              <w:t>ФГКУ "СПСЧ ФПС по РС (Я)"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56C" w:rsidRDefault="0038456C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Якутск</w:t>
            </w:r>
          </w:p>
          <w:p w:rsidR="0038456C" w:rsidRPr="005D44CF" w:rsidRDefault="0038456C" w:rsidP="00F53E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8456C" w:rsidRPr="005D44CF" w:rsidTr="00C61F2B">
        <w:trPr>
          <w:trHeight w:val="330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C" w:rsidRPr="005D44CF" w:rsidRDefault="009335E0" w:rsidP="009335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F53E3B">
            <w:pPr>
              <w:rPr>
                <w:color w:val="000000"/>
                <w:sz w:val="26"/>
                <w:szCs w:val="26"/>
              </w:rPr>
            </w:pPr>
            <w:r w:rsidRPr="005D44CF">
              <w:rPr>
                <w:color w:val="000000"/>
                <w:sz w:val="26"/>
                <w:szCs w:val="26"/>
              </w:rPr>
              <w:t>ФКУ "ЦУКС ГУ МЧС России по РС (Я)"</w:t>
            </w:r>
          </w:p>
          <w:p w:rsidR="0038456C" w:rsidRPr="005D44CF" w:rsidRDefault="0038456C" w:rsidP="00F53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Якутск</w:t>
            </w:r>
          </w:p>
          <w:p w:rsidR="0038456C" w:rsidRPr="005D44CF" w:rsidRDefault="0038456C" w:rsidP="00F53E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8456C" w:rsidRPr="005D44CF" w:rsidTr="00C61F2B">
        <w:trPr>
          <w:trHeight w:val="330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C" w:rsidRPr="005D44CF" w:rsidRDefault="009335E0" w:rsidP="009335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F53E3B">
            <w:pPr>
              <w:rPr>
                <w:color w:val="000000"/>
                <w:sz w:val="26"/>
                <w:szCs w:val="26"/>
              </w:rPr>
            </w:pPr>
            <w:r w:rsidRPr="005D44CF">
              <w:rPr>
                <w:color w:val="000000"/>
                <w:sz w:val="26"/>
                <w:szCs w:val="26"/>
              </w:rPr>
              <w:t>ФКУ "6 ОФПС ГПС по Республике Саха (Якутия) (договорной)"</w:t>
            </w:r>
          </w:p>
          <w:p w:rsidR="00F53E3B" w:rsidRPr="005D44CF" w:rsidRDefault="00F53E3B" w:rsidP="00F53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456C" w:rsidRDefault="0038456C" w:rsidP="00F53E3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Мирнинский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</w:t>
            </w:r>
          </w:p>
          <w:p w:rsidR="0038456C" w:rsidRPr="005D44CF" w:rsidRDefault="00D06E4E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</w:t>
            </w:r>
            <w:r w:rsidR="00C61F2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Мирный</w:t>
            </w:r>
          </w:p>
        </w:tc>
      </w:tr>
      <w:tr w:rsidR="0038456C" w:rsidRPr="005D44CF" w:rsidTr="00C61F2B">
        <w:trPr>
          <w:trHeight w:val="330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C" w:rsidRPr="005D44CF" w:rsidRDefault="009335E0" w:rsidP="009335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56C" w:rsidRDefault="0038456C" w:rsidP="00F53E3B">
            <w:pPr>
              <w:rPr>
                <w:color w:val="000000"/>
                <w:sz w:val="26"/>
                <w:szCs w:val="26"/>
              </w:rPr>
            </w:pPr>
            <w:r w:rsidRPr="005D44CF">
              <w:rPr>
                <w:color w:val="000000"/>
                <w:sz w:val="26"/>
                <w:szCs w:val="26"/>
              </w:rPr>
              <w:t>ФКУ "2 ПЧ ФПС ГПС по Республике Саха (Якутия) (договорн</w:t>
            </w:r>
            <w:r w:rsidR="00D06E4E">
              <w:rPr>
                <w:color w:val="000000"/>
                <w:sz w:val="26"/>
                <w:szCs w:val="26"/>
              </w:rPr>
              <w:t>ой</w:t>
            </w:r>
            <w:r w:rsidRPr="005D44CF">
              <w:rPr>
                <w:color w:val="000000"/>
                <w:sz w:val="26"/>
                <w:szCs w:val="26"/>
              </w:rPr>
              <w:t>)"</w:t>
            </w:r>
          </w:p>
          <w:p w:rsidR="00F53E3B" w:rsidRPr="005D44CF" w:rsidRDefault="00F53E3B" w:rsidP="00F53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35E0" w:rsidRDefault="009335E0" w:rsidP="00F53E3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Нерюнгринский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</w:t>
            </w:r>
          </w:p>
          <w:p w:rsidR="0038456C" w:rsidRPr="005D44CF" w:rsidRDefault="00D06E4E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</w:t>
            </w:r>
            <w:r w:rsidR="00C61F2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Нерюнгри</w:t>
            </w:r>
          </w:p>
        </w:tc>
      </w:tr>
      <w:tr w:rsidR="0038456C" w:rsidRPr="005D44CF" w:rsidTr="00C61F2B">
        <w:trPr>
          <w:trHeight w:val="758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C" w:rsidRPr="005D44CF" w:rsidRDefault="009335E0" w:rsidP="009335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E3B" w:rsidRDefault="0038456C" w:rsidP="00F53E3B">
            <w:pPr>
              <w:rPr>
                <w:color w:val="000000"/>
                <w:sz w:val="26"/>
                <w:szCs w:val="26"/>
              </w:rPr>
            </w:pPr>
            <w:r w:rsidRPr="005D44CF">
              <w:rPr>
                <w:color w:val="000000"/>
                <w:sz w:val="26"/>
                <w:szCs w:val="26"/>
              </w:rPr>
              <w:t>ФКУ "1 ПЧ ФПС ГПС по Республике РС (Я) (договорн</w:t>
            </w:r>
            <w:r w:rsidR="00D06E4E">
              <w:rPr>
                <w:color w:val="000000"/>
                <w:sz w:val="26"/>
                <w:szCs w:val="26"/>
              </w:rPr>
              <w:t>ой</w:t>
            </w:r>
            <w:r w:rsidRPr="005D44CF">
              <w:rPr>
                <w:color w:val="000000"/>
                <w:sz w:val="26"/>
                <w:szCs w:val="26"/>
              </w:rPr>
              <w:t>)"</w:t>
            </w:r>
          </w:p>
          <w:p w:rsidR="00F53E3B" w:rsidRPr="005D44CF" w:rsidRDefault="00F53E3B" w:rsidP="00F53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35E0" w:rsidRDefault="009335E0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Ленский район</w:t>
            </w:r>
          </w:p>
          <w:p w:rsidR="0038456C" w:rsidRPr="005D44CF" w:rsidRDefault="00D06E4E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</w:t>
            </w:r>
            <w:r w:rsidR="00C61F2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Ленск</w:t>
            </w:r>
          </w:p>
        </w:tc>
      </w:tr>
      <w:tr w:rsidR="00F53E3B" w:rsidRPr="005D44CF" w:rsidTr="00C61F2B">
        <w:trPr>
          <w:trHeight w:val="345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E4E" w:rsidRDefault="00D06E4E" w:rsidP="00D06E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E3B" w:rsidRDefault="00F53E3B" w:rsidP="00D06E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ФКУ «Центр ГИМС МЧС России по РС</w:t>
            </w:r>
            <w:r w:rsidR="00D06E4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(Я)»</w:t>
            </w:r>
          </w:p>
          <w:p w:rsidR="00D06E4E" w:rsidRPr="005D44CF" w:rsidRDefault="00D06E4E" w:rsidP="00D06E4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E3B" w:rsidRDefault="00D06E4E" w:rsidP="00D06E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Якутск</w:t>
            </w:r>
            <w:r w:rsidR="00C61F2B">
              <w:rPr>
                <w:color w:val="000000"/>
                <w:sz w:val="26"/>
                <w:szCs w:val="26"/>
              </w:rPr>
              <w:t xml:space="preserve"> и в территориальных подразделениях республики</w:t>
            </w:r>
          </w:p>
        </w:tc>
      </w:tr>
      <w:tr w:rsidR="009335E0" w:rsidRPr="005D44CF" w:rsidTr="00C61F2B">
        <w:trPr>
          <w:trHeight w:val="345"/>
          <w:jc w:val="center"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335E0" w:rsidRPr="005D44CF" w:rsidRDefault="009335E0" w:rsidP="005D44C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  <w:vAlign w:val="bottom"/>
          </w:tcPr>
          <w:p w:rsidR="009335E0" w:rsidRPr="005D44CF" w:rsidRDefault="009335E0" w:rsidP="00B74C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61" w:type="dxa"/>
            <w:tcBorders>
              <w:top w:val="single" w:sz="4" w:space="0" w:color="auto"/>
            </w:tcBorders>
          </w:tcPr>
          <w:p w:rsidR="009335E0" w:rsidRDefault="009335E0" w:rsidP="009335E0">
            <w:pPr>
              <w:rPr>
                <w:color w:val="000000"/>
                <w:sz w:val="26"/>
                <w:szCs w:val="26"/>
              </w:rPr>
            </w:pPr>
          </w:p>
        </w:tc>
      </w:tr>
      <w:tr w:rsidR="009335E0" w:rsidRPr="005D44CF" w:rsidTr="009335E0">
        <w:trPr>
          <w:trHeight w:val="330"/>
          <w:jc w:val="center"/>
        </w:trPr>
        <w:tc>
          <w:tcPr>
            <w:tcW w:w="94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335E0" w:rsidRPr="00F53E3B" w:rsidRDefault="009335E0" w:rsidP="009335E0">
            <w:pPr>
              <w:jc w:val="both"/>
              <w:rPr>
                <w:b/>
              </w:rPr>
            </w:pPr>
            <w:r w:rsidRPr="00F53E3B">
              <w:rPr>
                <w:b/>
              </w:rPr>
              <w:t>Бюджетные учреждения</w:t>
            </w:r>
          </w:p>
          <w:p w:rsidR="009335E0" w:rsidRDefault="009335E0" w:rsidP="0038456C">
            <w:pPr>
              <w:rPr>
                <w:color w:val="000000"/>
                <w:sz w:val="26"/>
                <w:szCs w:val="26"/>
              </w:rPr>
            </w:pPr>
          </w:p>
          <w:p w:rsidR="009335E0" w:rsidRDefault="009335E0" w:rsidP="00B74C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8456C" w:rsidRPr="005D44CF" w:rsidTr="00C61F2B">
        <w:trPr>
          <w:trHeight w:val="688"/>
          <w:jc w:val="center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56C" w:rsidRPr="005D44CF" w:rsidRDefault="009335E0" w:rsidP="009335E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35E0" w:rsidRDefault="009335E0" w:rsidP="00F53E3B">
            <w:pPr>
              <w:jc w:val="center"/>
              <w:rPr>
                <w:color w:val="000000"/>
                <w:sz w:val="26"/>
                <w:szCs w:val="26"/>
              </w:rPr>
            </w:pPr>
            <w:r w:rsidRPr="005D44CF">
              <w:rPr>
                <w:color w:val="000000"/>
                <w:sz w:val="26"/>
                <w:szCs w:val="26"/>
              </w:rPr>
              <w:t>ФГБУ "СЭУ ФПС ИПЛ МЧС России по РС (Я)"</w:t>
            </w:r>
          </w:p>
          <w:p w:rsidR="0038456C" w:rsidRPr="005D44CF" w:rsidRDefault="0038456C" w:rsidP="00F53E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35E0" w:rsidRDefault="009335E0" w:rsidP="00F53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Якутск</w:t>
            </w:r>
          </w:p>
          <w:p w:rsidR="0038456C" w:rsidRPr="005D44CF" w:rsidRDefault="0038456C" w:rsidP="00F53E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55C24" w:rsidRDefault="00755C24" w:rsidP="00755C24">
      <w:pPr>
        <w:jc w:val="both"/>
      </w:pPr>
    </w:p>
    <w:p w:rsidR="003141C9" w:rsidRPr="003141C9" w:rsidRDefault="003141C9" w:rsidP="003141C9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</w:t>
      </w:r>
    </w:p>
    <w:p w:rsidR="002F46FD" w:rsidRPr="002C7A61" w:rsidRDefault="002F46FD" w:rsidP="002F46FD">
      <w:pPr>
        <w:autoSpaceDE w:val="0"/>
        <w:autoSpaceDN w:val="0"/>
        <w:adjustRightInd w:val="0"/>
        <w:jc w:val="both"/>
        <w:rPr>
          <w:color w:val="000000"/>
        </w:rPr>
      </w:pPr>
    </w:p>
    <w:p w:rsidR="002F46FD" w:rsidRDefault="002F46FD" w:rsidP="002F46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  <w:r w:rsidRPr="002C7A61">
        <w:rPr>
          <w:b/>
          <w:sz w:val="26"/>
          <w:szCs w:val="26"/>
          <w:u w:val="single"/>
        </w:rPr>
        <w:t>Раздел 2 "Результаты деятельности субъекта бюджетной отчетности"</w:t>
      </w:r>
    </w:p>
    <w:p w:rsidR="003141C9" w:rsidRDefault="003141C9" w:rsidP="002F46FD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u w:val="single"/>
        </w:rPr>
      </w:pPr>
    </w:p>
    <w:p w:rsidR="003141C9" w:rsidRPr="002C7A61" w:rsidRDefault="003141C9" w:rsidP="003141C9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2C7A61">
        <w:rPr>
          <w:i/>
          <w:u w:val="single"/>
        </w:rPr>
        <w:t>Сведения о мерах по повышению эффективности расходования бюджетных средств (таблица № 2)</w:t>
      </w:r>
    </w:p>
    <w:p w:rsidR="003141C9" w:rsidRPr="002C7A61" w:rsidRDefault="003141C9" w:rsidP="003141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7A61">
        <w:rPr>
          <w:color w:val="000000"/>
        </w:rPr>
        <w:t xml:space="preserve">В </w:t>
      </w:r>
      <w:r w:rsidR="00094A8E">
        <w:rPr>
          <w:color w:val="000000"/>
        </w:rPr>
        <w:t>течение</w:t>
      </w:r>
      <w:r w:rsidR="003D09BC">
        <w:rPr>
          <w:color w:val="000000"/>
        </w:rPr>
        <w:t xml:space="preserve"> </w:t>
      </w:r>
      <w:r>
        <w:rPr>
          <w:color w:val="000000"/>
        </w:rPr>
        <w:t>201</w:t>
      </w:r>
      <w:r w:rsidR="003D09BC">
        <w:rPr>
          <w:color w:val="000000"/>
        </w:rPr>
        <w:t>8</w:t>
      </w:r>
      <w:r w:rsidRPr="002C7A61">
        <w:rPr>
          <w:color w:val="000000"/>
        </w:rPr>
        <w:t xml:space="preserve"> год</w:t>
      </w:r>
      <w:r>
        <w:rPr>
          <w:color w:val="000000"/>
        </w:rPr>
        <w:t>а прово</w:t>
      </w:r>
      <w:r w:rsidRPr="002C7A61">
        <w:rPr>
          <w:color w:val="000000"/>
        </w:rPr>
        <w:t xml:space="preserve">дились проверки кассы, </w:t>
      </w:r>
      <w:r w:rsidR="00C46669">
        <w:rPr>
          <w:color w:val="000000"/>
        </w:rPr>
        <w:t>производился контроль</w:t>
      </w:r>
      <w:r w:rsidRPr="002C7A61">
        <w:rPr>
          <w:color w:val="000000"/>
        </w:rPr>
        <w:t xml:space="preserve"> дебиторской и кредиторской задолженности</w:t>
      </w:r>
      <w:r w:rsidR="00C46669">
        <w:rPr>
          <w:color w:val="000000"/>
        </w:rPr>
        <w:t xml:space="preserve"> с с</w:t>
      </w:r>
      <w:r w:rsidRPr="002C7A61">
        <w:rPr>
          <w:color w:val="000000"/>
        </w:rPr>
        <w:t>оставл</w:t>
      </w:r>
      <w:r w:rsidR="00C46669">
        <w:rPr>
          <w:color w:val="000000"/>
        </w:rPr>
        <w:t>ением</w:t>
      </w:r>
      <w:r w:rsidRPr="002C7A61">
        <w:rPr>
          <w:color w:val="000000"/>
        </w:rPr>
        <w:t xml:space="preserve"> акт</w:t>
      </w:r>
      <w:r w:rsidR="00C46669">
        <w:rPr>
          <w:color w:val="000000"/>
        </w:rPr>
        <w:t>ов</w:t>
      </w:r>
      <w:r w:rsidRPr="002C7A61">
        <w:rPr>
          <w:color w:val="000000"/>
        </w:rPr>
        <w:t xml:space="preserve"> сверок с организациями. С организациями-поставщиками </w:t>
      </w:r>
      <w:r>
        <w:rPr>
          <w:color w:val="000000"/>
        </w:rPr>
        <w:t xml:space="preserve">электроэнергии, </w:t>
      </w:r>
      <w:proofErr w:type="spellStart"/>
      <w:r w:rsidRPr="002C7A61">
        <w:rPr>
          <w:color w:val="000000"/>
        </w:rPr>
        <w:t>теплоэнергии</w:t>
      </w:r>
      <w:proofErr w:type="spellEnd"/>
      <w:r w:rsidRPr="002C7A61">
        <w:rPr>
          <w:color w:val="000000"/>
        </w:rPr>
        <w:t xml:space="preserve"> и воды заключены </w:t>
      </w:r>
      <w:r w:rsidR="00B73DDD">
        <w:rPr>
          <w:color w:val="000000"/>
        </w:rPr>
        <w:t xml:space="preserve">контракты </w:t>
      </w:r>
      <w:r w:rsidRPr="002C7A61">
        <w:rPr>
          <w:color w:val="000000"/>
        </w:rPr>
        <w:t>в соответствии с доведенными объемами лимитов бюджетных обязательств.</w:t>
      </w:r>
    </w:p>
    <w:p w:rsidR="003141C9" w:rsidRPr="002C7A61" w:rsidRDefault="003141C9" w:rsidP="003141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7A61">
        <w:rPr>
          <w:color w:val="000000"/>
        </w:rPr>
        <w:lastRenderedPageBreak/>
        <w:t>При планировании бюджетных сре</w:t>
      </w:r>
      <w:proofErr w:type="gramStart"/>
      <w:r w:rsidRPr="002C7A61">
        <w:rPr>
          <w:color w:val="000000"/>
        </w:rPr>
        <w:t>дств вс</w:t>
      </w:r>
      <w:proofErr w:type="gramEnd"/>
      <w:r w:rsidRPr="002C7A61">
        <w:rPr>
          <w:color w:val="000000"/>
        </w:rPr>
        <w:t>е отделы и управления ГУ МЧС России по Республике Саха (Якутия), подведомственные подразделения подают заявки с учетом планирования работы на год, исходя из необходимости достижения заданных результатов с использованием наименьшего объема средств и достижения наилучшего результата.</w:t>
      </w:r>
    </w:p>
    <w:p w:rsidR="003141C9" w:rsidRDefault="003141C9" w:rsidP="003141C9">
      <w:pPr>
        <w:ind w:firstLine="708"/>
        <w:jc w:val="both"/>
      </w:pPr>
      <w:r w:rsidRPr="002C7A61">
        <w:t>Размещение заказов на поставку товаров, выполнение работ и услуг проводится в строгом соответствии с требованиями Федерального закона  № 44-ФЗ от 05.04.2013 г, ежемесячно проводится анализ командировочных расходов, платежей за коммунальные услуги.</w:t>
      </w:r>
    </w:p>
    <w:p w:rsidR="003141C9" w:rsidRDefault="008F6F84" w:rsidP="008F6F84">
      <w:pPr>
        <w:ind w:firstLine="708"/>
        <w:jc w:val="both"/>
      </w:pPr>
      <w:r>
        <w:t>Принятие решений по перераспределению лимитов бюджетных обязательств между подразделениями в связи с экономией бюджетных средств.</w:t>
      </w:r>
    </w:p>
    <w:p w:rsidR="007967EC" w:rsidRDefault="008F6F84" w:rsidP="007967EC">
      <w:pPr>
        <w:ind w:firstLine="708"/>
        <w:jc w:val="both"/>
      </w:pPr>
      <w:r>
        <w:t>Повышение доли закупок на конкурсной основе.</w:t>
      </w:r>
    </w:p>
    <w:p w:rsidR="002F46FD" w:rsidRDefault="007967EC" w:rsidP="007967EC">
      <w:pPr>
        <w:ind w:firstLine="708"/>
        <w:jc w:val="both"/>
      </w:pPr>
      <w:r w:rsidRPr="002C7A61">
        <w:t xml:space="preserve"> </w:t>
      </w:r>
    </w:p>
    <w:p w:rsidR="00D64E73" w:rsidRPr="002C7A61" w:rsidRDefault="00D64E73" w:rsidP="007967EC">
      <w:pPr>
        <w:ind w:firstLine="708"/>
        <w:jc w:val="both"/>
      </w:pPr>
    </w:p>
    <w:p w:rsidR="002F46FD" w:rsidRDefault="002F46FD" w:rsidP="002F46F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u w:val="single"/>
        </w:rPr>
      </w:pPr>
      <w:r w:rsidRPr="002C7A61">
        <w:rPr>
          <w:b/>
          <w:sz w:val="26"/>
          <w:szCs w:val="26"/>
          <w:u w:val="single"/>
        </w:rPr>
        <w:t>Раздел 3 "Анализ отчета об исполнении бюджета субъектом бюджетной отчетности"</w:t>
      </w:r>
    </w:p>
    <w:p w:rsidR="00444AB2" w:rsidRDefault="00444AB2" w:rsidP="002F46F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u w:val="single"/>
        </w:rPr>
      </w:pPr>
    </w:p>
    <w:p w:rsidR="00D5767A" w:rsidRPr="007769C2" w:rsidRDefault="00D5767A" w:rsidP="00D5767A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7769C2">
        <w:rPr>
          <w:i/>
          <w:u w:val="single"/>
        </w:rPr>
        <w:t>Сведения об исполнении бюджета (ф. 0503164)</w:t>
      </w:r>
    </w:p>
    <w:p w:rsidR="0088783B" w:rsidRDefault="0088783B" w:rsidP="00D5767A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</w:p>
    <w:p w:rsidR="004216E5" w:rsidRPr="00C00072" w:rsidRDefault="001C036E" w:rsidP="00D5767A">
      <w:pPr>
        <w:autoSpaceDE w:val="0"/>
        <w:autoSpaceDN w:val="0"/>
        <w:adjustRightInd w:val="0"/>
        <w:ind w:firstLine="709"/>
        <w:jc w:val="both"/>
      </w:pPr>
      <w:r w:rsidRPr="00C00072">
        <w:t xml:space="preserve">Общее исполнение по </w:t>
      </w:r>
      <w:r w:rsidR="009E3C0E" w:rsidRPr="00C00072">
        <w:t>Д</w:t>
      </w:r>
      <w:r w:rsidRPr="00C00072">
        <w:t xml:space="preserve">оходам </w:t>
      </w:r>
      <w:r w:rsidR="009E3C0E" w:rsidRPr="00C00072">
        <w:t xml:space="preserve">бюджета </w:t>
      </w:r>
      <w:r w:rsidRPr="00C00072">
        <w:t xml:space="preserve">на 1 </w:t>
      </w:r>
      <w:r w:rsidR="00C21324">
        <w:t>янва</w:t>
      </w:r>
      <w:r w:rsidR="00BB595D">
        <w:t>р</w:t>
      </w:r>
      <w:r w:rsidR="003D09BC">
        <w:t>я</w:t>
      </w:r>
      <w:r w:rsidRPr="00C00072">
        <w:t xml:space="preserve"> 201</w:t>
      </w:r>
      <w:r w:rsidR="00C21324">
        <w:t>9</w:t>
      </w:r>
      <w:r w:rsidRPr="00C00072">
        <w:t xml:space="preserve"> года составляет </w:t>
      </w:r>
      <w:r w:rsidR="00F836FB">
        <w:t>–</w:t>
      </w:r>
      <w:r w:rsidR="00110A2D">
        <w:t xml:space="preserve"> </w:t>
      </w:r>
      <w:r w:rsidR="00C21324">
        <w:t>265 496 016,37</w:t>
      </w:r>
      <w:r w:rsidRPr="00C00072">
        <w:t xml:space="preserve"> руб.</w:t>
      </w:r>
    </w:p>
    <w:p w:rsidR="009E3C0E" w:rsidRDefault="00D5767A" w:rsidP="00D5767A">
      <w:pPr>
        <w:autoSpaceDE w:val="0"/>
        <w:autoSpaceDN w:val="0"/>
        <w:adjustRightInd w:val="0"/>
        <w:ind w:firstLine="709"/>
        <w:jc w:val="both"/>
      </w:pPr>
      <w:r w:rsidRPr="00C00072">
        <w:t xml:space="preserve">Утвержденные бюджетных назначения в </w:t>
      </w:r>
      <w:r w:rsidR="001C036E" w:rsidRPr="00C00072">
        <w:t>разделе 2 «Р</w:t>
      </w:r>
      <w:r w:rsidRPr="00C00072">
        <w:t>асходов бюджета</w:t>
      </w:r>
      <w:r w:rsidR="001C036E" w:rsidRPr="00C00072">
        <w:t>»</w:t>
      </w:r>
      <w:r w:rsidRPr="00C00072">
        <w:t xml:space="preserve"> составили </w:t>
      </w:r>
      <w:r w:rsidR="00C21324">
        <w:t>320 637 074,45</w:t>
      </w:r>
      <w:r w:rsidR="00110A2D">
        <w:t>руб</w:t>
      </w:r>
      <w:r w:rsidR="000B7D9E">
        <w:t xml:space="preserve">. </w:t>
      </w:r>
      <w:r w:rsidR="00C00072" w:rsidRPr="00C00072">
        <w:t xml:space="preserve">Расходы </w:t>
      </w:r>
      <w:r w:rsidRPr="00C00072">
        <w:t>исполнен</w:t>
      </w:r>
      <w:r w:rsidR="007769C2" w:rsidRPr="00C00072">
        <w:t>ы в сумме</w:t>
      </w:r>
      <w:r w:rsidRPr="00C00072">
        <w:t xml:space="preserve"> </w:t>
      </w:r>
      <w:r w:rsidR="00C21324">
        <w:t>269 123 120,85</w:t>
      </w:r>
      <w:r w:rsidRPr="00C00072">
        <w:t xml:space="preserve"> руб</w:t>
      </w:r>
      <w:r w:rsidR="00DB6FE2" w:rsidRPr="00C00072">
        <w:t>.</w:t>
      </w:r>
      <w:r w:rsidR="007769C2" w:rsidRPr="00C00072">
        <w:t xml:space="preserve">, что составляет </w:t>
      </w:r>
      <w:r w:rsidR="0084542E">
        <w:t>-</w:t>
      </w:r>
      <w:r w:rsidR="00C21324">
        <w:rPr>
          <w:b/>
        </w:rPr>
        <w:t>83,93</w:t>
      </w:r>
      <w:r w:rsidR="007769C2" w:rsidRPr="0084542E">
        <w:rPr>
          <w:b/>
        </w:rPr>
        <w:t>%</w:t>
      </w:r>
      <w:r w:rsidR="003D09BC">
        <w:t>, не исполнено -</w:t>
      </w:r>
      <w:r w:rsidR="00C16C4A">
        <w:t>51 513 953,60</w:t>
      </w:r>
      <w:r w:rsidR="003D09BC">
        <w:t xml:space="preserve"> руб.</w:t>
      </w:r>
    </w:p>
    <w:p w:rsidR="009E3C0E" w:rsidRDefault="009E3C0E" w:rsidP="00D5767A">
      <w:pPr>
        <w:autoSpaceDE w:val="0"/>
        <w:autoSpaceDN w:val="0"/>
        <w:adjustRightInd w:val="0"/>
        <w:ind w:firstLine="709"/>
        <w:jc w:val="both"/>
      </w:pPr>
      <w:r w:rsidRPr="00C00072">
        <w:t>Источники фин</w:t>
      </w:r>
      <w:r w:rsidR="001903DE" w:rsidRPr="00C00072">
        <w:t xml:space="preserve">ансирования дефицитов бюджетов, </w:t>
      </w:r>
      <w:r w:rsidRPr="00C00072">
        <w:t>составляют –</w:t>
      </w:r>
      <w:r w:rsidR="006E6BB0">
        <w:t>3 627 104,48</w:t>
      </w:r>
      <w:r w:rsidR="00110A2D">
        <w:t xml:space="preserve"> </w:t>
      </w:r>
      <w:r w:rsidRPr="00C00072">
        <w:t>руб.</w:t>
      </w:r>
      <w:r w:rsidR="000B7D9E">
        <w:t xml:space="preserve"> </w:t>
      </w:r>
    </w:p>
    <w:p w:rsidR="009717EA" w:rsidRDefault="009717EA" w:rsidP="009717EA">
      <w:pPr>
        <w:autoSpaceDE w:val="0"/>
        <w:autoSpaceDN w:val="0"/>
        <w:adjustRightInd w:val="0"/>
        <w:ind w:firstLine="709"/>
        <w:jc w:val="both"/>
      </w:pPr>
      <w:r w:rsidRPr="00C00072">
        <w:t>Оплата производится в соответствии с условиями заключенных государственных контрактов, договоров</w:t>
      </w:r>
      <w:r w:rsidRPr="00C00072">
        <w:rPr>
          <w:color w:val="000000"/>
        </w:rPr>
        <w:t xml:space="preserve"> по фактически выполненным работам (услугам) и поставки</w:t>
      </w:r>
      <w:r>
        <w:rPr>
          <w:color w:val="000000"/>
        </w:rPr>
        <w:t xml:space="preserve"> закупаемого имущества</w:t>
      </w:r>
      <w:r w:rsidRPr="00C00072">
        <w:rPr>
          <w:color w:val="000000"/>
        </w:rPr>
        <w:t>.</w:t>
      </w:r>
    </w:p>
    <w:p w:rsidR="00EC25FC" w:rsidRDefault="00EC25FC" w:rsidP="00EC25FC">
      <w:pPr>
        <w:autoSpaceDE w:val="0"/>
        <w:autoSpaceDN w:val="0"/>
        <w:adjustRightInd w:val="0"/>
        <w:ind w:firstLine="709"/>
        <w:jc w:val="both"/>
      </w:pPr>
      <w:r w:rsidRPr="00EC25FC">
        <w:t>За отчетный период неисполненные назначения по лимитам бюджетных обязательств составили 51 513 953,60 руб.</w:t>
      </w:r>
      <w:r w:rsidR="006D13EA">
        <w:t xml:space="preserve">, </w:t>
      </w:r>
      <w:r w:rsidR="00340A7D">
        <w:t xml:space="preserve">основную долю показателя неисполнения  составляют </w:t>
      </w:r>
      <w:r w:rsidR="00EE193D">
        <w:t xml:space="preserve">средства </w:t>
      </w:r>
      <w:proofErr w:type="spellStart"/>
      <w:r w:rsidR="00EE193D">
        <w:t>гособоронзаказа</w:t>
      </w:r>
      <w:proofErr w:type="spellEnd"/>
      <w:r w:rsidR="00EE193D">
        <w:t xml:space="preserve"> на капитальное строительство</w:t>
      </w:r>
      <w:r w:rsidR="006D13EA">
        <w:t xml:space="preserve"> </w:t>
      </w:r>
      <w:r w:rsidR="00EE193D">
        <w:t>51 429 529,34 руб.</w:t>
      </w:r>
      <w:r w:rsidR="00C55DAD">
        <w:t xml:space="preserve"> Строительство объекта запланировано на три года, согласно условиям контракта оплата производится по факту выполнения работ в соответствии с утвержденным графиком </w:t>
      </w:r>
      <w:r w:rsidR="009717EA">
        <w:t xml:space="preserve">выполнения </w:t>
      </w:r>
      <w:r w:rsidR="00C55DAD">
        <w:t>строительства.</w:t>
      </w:r>
    </w:p>
    <w:p w:rsidR="00631A3A" w:rsidRDefault="00631A3A" w:rsidP="00D5767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64E73" w:rsidRDefault="00D64E73" w:rsidP="002F46F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u w:val="single"/>
        </w:rPr>
      </w:pPr>
    </w:p>
    <w:p w:rsidR="002F46FD" w:rsidRDefault="002F46FD" w:rsidP="002F46F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u w:val="single"/>
        </w:rPr>
      </w:pPr>
      <w:r w:rsidRPr="002C7A61">
        <w:rPr>
          <w:b/>
          <w:sz w:val="26"/>
          <w:szCs w:val="26"/>
          <w:u w:val="single"/>
        </w:rPr>
        <w:t>Раздел 4 "Анализ показателей бухгалтерской отчетности субъекта бюджетной отчетности"</w:t>
      </w:r>
    </w:p>
    <w:p w:rsidR="00B74C7B" w:rsidRDefault="00B74C7B" w:rsidP="00055FFC">
      <w:pPr>
        <w:autoSpaceDE w:val="0"/>
        <w:autoSpaceDN w:val="0"/>
        <w:adjustRightInd w:val="0"/>
        <w:ind w:firstLine="709"/>
        <w:jc w:val="both"/>
        <w:rPr>
          <w:i/>
          <w:color w:val="000000"/>
          <w:u w:val="single"/>
        </w:rPr>
      </w:pPr>
    </w:p>
    <w:p w:rsidR="00A21DFF" w:rsidRDefault="00A21DFF" w:rsidP="00055FFC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7769C2">
        <w:rPr>
          <w:i/>
          <w:u w:val="single"/>
        </w:rPr>
        <w:t xml:space="preserve">Сведения о </w:t>
      </w:r>
      <w:r>
        <w:rPr>
          <w:i/>
          <w:u w:val="single"/>
        </w:rPr>
        <w:t>движении нефинансовых активов</w:t>
      </w:r>
      <w:r w:rsidRPr="007769C2">
        <w:rPr>
          <w:i/>
          <w:u w:val="single"/>
        </w:rPr>
        <w:t xml:space="preserve"> (ф. 050316</w:t>
      </w:r>
      <w:r w:rsidR="0027194F">
        <w:rPr>
          <w:i/>
          <w:u w:val="single"/>
        </w:rPr>
        <w:t>8)</w:t>
      </w:r>
    </w:p>
    <w:p w:rsidR="0027194F" w:rsidRDefault="0027194F" w:rsidP="00055FFC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7194F" w:rsidRPr="00802E51" w:rsidRDefault="0027194F" w:rsidP="00055F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2E51">
        <w:rPr>
          <w:color w:val="000000"/>
        </w:rPr>
        <w:t>С 01 января 2018 года вступили в силу федеральные стандарты бухгалтерского учета для организаций государственного сектора</w:t>
      </w:r>
      <w:r w:rsidR="00B351E0" w:rsidRPr="00802E51">
        <w:rPr>
          <w:color w:val="000000"/>
        </w:rPr>
        <w:t>.</w:t>
      </w:r>
    </w:p>
    <w:p w:rsidR="002374D9" w:rsidRPr="00802E51" w:rsidRDefault="002374D9" w:rsidP="00055F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02E51">
        <w:rPr>
          <w:color w:val="000000"/>
        </w:rPr>
        <w:t>По состоянию на 01.01.2018г. проведена инвентаризация всего имущества, находящегося на баланс</w:t>
      </w:r>
      <w:r w:rsidR="00D13F34">
        <w:rPr>
          <w:color w:val="000000"/>
        </w:rPr>
        <w:t xml:space="preserve">е </w:t>
      </w:r>
      <w:r w:rsidRPr="00802E51">
        <w:rPr>
          <w:color w:val="000000"/>
        </w:rPr>
        <w:t xml:space="preserve">и </w:t>
      </w:r>
      <w:proofErr w:type="spellStart"/>
      <w:r w:rsidRPr="00802E51">
        <w:rPr>
          <w:color w:val="000000"/>
        </w:rPr>
        <w:t>забалансовом</w:t>
      </w:r>
      <w:proofErr w:type="spellEnd"/>
      <w:r w:rsidRPr="00802E51">
        <w:rPr>
          <w:color w:val="000000"/>
        </w:rPr>
        <w:t xml:space="preserve"> учете Главного управления.</w:t>
      </w:r>
    </w:p>
    <w:p w:rsidR="00802E51" w:rsidRPr="000E18B8" w:rsidRDefault="002374D9" w:rsidP="00055F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18B8">
        <w:rPr>
          <w:color w:val="000000"/>
        </w:rPr>
        <w:t xml:space="preserve"> </w:t>
      </w:r>
      <w:r w:rsidR="006531E0" w:rsidRPr="000E18B8">
        <w:rPr>
          <w:color w:val="000000"/>
        </w:rPr>
        <w:t xml:space="preserve">В ходе инвентаризации </w:t>
      </w:r>
      <w:r w:rsidR="00D13F34" w:rsidRPr="000E18B8">
        <w:rPr>
          <w:color w:val="000000"/>
        </w:rPr>
        <w:t xml:space="preserve">комиссией Главного управления определены перечни </w:t>
      </w:r>
      <w:r w:rsidR="00802E51" w:rsidRPr="000E18B8">
        <w:rPr>
          <w:color w:val="000000"/>
        </w:rPr>
        <w:t>имуществ</w:t>
      </w:r>
      <w:r w:rsidR="00D13F34" w:rsidRPr="000E18B8">
        <w:rPr>
          <w:color w:val="000000"/>
        </w:rPr>
        <w:t>а</w:t>
      </w:r>
      <w:r w:rsidR="00802E51" w:rsidRPr="000E18B8">
        <w:rPr>
          <w:color w:val="000000"/>
        </w:rPr>
        <w:t xml:space="preserve"> готов</w:t>
      </w:r>
      <w:r w:rsidR="00D13F34" w:rsidRPr="000E18B8">
        <w:rPr>
          <w:color w:val="000000"/>
        </w:rPr>
        <w:t>ы</w:t>
      </w:r>
      <w:r w:rsidR="00D71568" w:rsidRPr="000E18B8">
        <w:rPr>
          <w:color w:val="000000"/>
        </w:rPr>
        <w:t>е</w:t>
      </w:r>
      <w:r w:rsidR="00802E51" w:rsidRPr="000E18B8">
        <w:rPr>
          <w:color w:val="000000"/>
        </w:rPr>
        <w:t xml:space="preserve"> к списанию</w:t>
      </w:r>
      <w:r w:rsidR="00D71568" w:rsidRPr="000E18B8">
        <w:rPr>
          <w:color w:val="000000"/>
        </w:rPr>
        <w:t xml:space="preserve">, </w:t>
      </w:r>
      <w:r w:rsidR="00D13F34" w:rsidRPr="000E18B8">
        <w:rPr>
          <w:color w:val="000000"/>
        </w:rPr>
        <w:t>котор</w:t>
      </w:r>
      <w:r w:rsidR="00D71568" w:rsidRPr="000E18B8">
        <w:rPr>
          <w:color w:val="000000"/>
        </w:rPr>
        <w:t>ы</w:t>
      </w:r>
      <w:r w:rsidR="00D13F34" w:rsidRPr="000E18B8">
        <w:rPr>
          <w:color w:val="000000"/>
        </w:rPr>
        <w:t xml:space="preserve">е не соответствует критериям актива и не </w:t>
      </w:r>
      <w:r w:rsidR="00D71568" w:rsidRPr="000E18B8">
        <w:rPr>
          <w:color w:val="000000"/>
        </w:rPr>
        <w:t xml:space="preserve">планируются к </w:t>
      </w:r>
      <w:r w:rsidR="00D13F34" w:rsidRPr="000E18B8">
        <w:rPr>
          <w:color w:val="000000"/>
        </w:rPr>
        <w:t>эксплуат</w:t>
      </w:r>
      <w:r w:rsidR="00D71568" w:rsidRPr="000E18B8">
        <w:rPr>
          <w:color w:val="000000"/>
        </w:rPr>
        <w:t>ации</w:t>
      </w:r>
      <w:r w:rsidR="004F6050">
        <w:rPr>
          <w:color w:val="000000"/>
        </w:rPr>
        <w:t>.</w:t>
      </w:r>
    </w:p>
    <w:p w:rsidR="00A21DFF" w:rsidRDefault="004E6047" w:rsidP="00055F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6047">
        <w:rPr>
          <w:color w:val="000000"/>
        </w:rPr>
        <w:t xml:space="preserve">На балансе Главного управления по состоянию на 01 января 2019 года </w:t>
      </w:r>
      <w:r w:rsidR="008239CA" w:rsidRPr="008239CA">
        <w:rPr>
          <w:b/>
          <w:color w:val="000000"/>
        </w:rPr>
        <w:t>Н</w:t>
      </w:r>
      <w:r w:rsidRPr="008239CA">
        <w:rPr>
          <w:b/>
          <w:color w:val="000000"/>
        </w:rPr>
        <w:t>ефинансовые активы</w:t>
      </w:r>
      <w:r>
        <w:rPr>
          <w:color w:val="000000"/>
        </w:rPr>
        <w:t xml:space="preserve"> составляют «</w:t>
      </w:r>
      <w:r w:rsidRPr="004E6047">
        <w:rPr>
          <w:color w:val="000000"/>
        </w:rPr>
        <w:t>Основные средства</w:t>
      </w:r>
      <w:r>
        <w:rPr>
          <w:color w:val="000000"/>
        </w:rPr>
        <w:t>»</w:t>
      </w:r>
      <w:r w:rsidRPr="004E6047">
        <w:rPr>
          <w:color w:val="000000"/>
        </w:rPr>
        <w:t xml:space="preserve"> </w:t>
      </w:r>
      <w:r>
        <w:rPr>
          <w:color w:val="000000"/>
        </w:rPr>
        <w:t xml:space="preserve"> на общую сумму </w:t>
      </w:r>
      <w:r w:rsidRPr="008239CA">
        <w:rPr>
          <w:b/>
          <w:color w:val="000000"/>
        </w:rPr>
        <w:t>159 854 233,54 р</w:t>
      </w:r>
      <w:r>
        <w:rPr>
          <w:color w:val="000000"/>
        </w:rPr>
        <w:t>уб. Из них, жилые помещения на сумму 78 710 458,0 руб</w:t>
      </w:r>
      <w:r w:rsidR="00B233FE">
        <w:rPr>
          <w:color w:val="000000"/>
        </w:rPr>
        <w:t xml:space="preserve">. (квартиры в жилом доме по ул. Ф.Попова,16/5А); Административное здание (8 объектов  по ул. </w:t>
      </w:r>
      <w:proofErr w:type="spellStart"/>
      <w:r w:rsidR="00B233FE">
        <w:rPr>
          <w:color w:val="000000"/>
        </w:rPr>
        <w:t>Кальвица</w:t>
      </w:r>
      <w:proofErr w:type="spellEnd"/>
      <w:r w:rsidR="00B233FE">
        <w:rPr>
          <w:color w:val="000000"/>
        </w:rPr>
        <w:t xml:space="preserve"> 16/2) на сумму 40 454 826,47 руб., Машины и оборудование 25 986 000,0 руб.</w:t>
      </w:r>
      <w:r w:rsidR="008239CA">
        <w:rPr>
          <w:color w:val="000000"/>
        </w:rPr>
        <w:t>; Транспортные средства -12710 333,01 руб. Инвентарь хозяйственный 1 992 616,06 руб.</w:t>
      </w:r>
    </w:p>
    <w:p w:rsidR="008239CA" w:rsidRDefault="008239CA" w:rsidP="00055F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За отчетный период  начислена амортизация на сумму 76 013 575,54 руб.</w:t>
      </w:r>
    </w:p>
    <w:p w:rsidR="008239CA" w:rsidRDefault="008239CA" w:rsidP="00055F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Вложения в основные средства  39 497 939,32 руб.</w:t>
      </w:r>
      <w:r w:rsidR="00C22757">
        <w:rPr>
          <w:color w:val="000000"/>
        </w:rPr>
        <w:t xml:space="preserve"> </w:t>
      </w:r>
      <w:r w:rsidR="00414E61">
        <w:rPr>
          <w:color w:val="000000"/>
        </w:rPr>
        <w:t xml:space="preserve">оплата за проведенные работы по </w:t>
      </w:r>
      <w:r w:rsidR="0096195E">
        <w:rPr>
          <w:color w:val="000000"/>
        </w:rPr>
        <w:t>строительств</w:t>
      </w:r>
      <w:r w:rsidR="00414E61">
        <w:rPr>
          <w:color w:val="000000"/>
        </w:rPr>
        <w:t>у</w:t>
      </w:r>
      <w:r w:rsidR="0096195E">
        <w:rPr>
          <w:color w:val="000000"/>
        </w:rPr>
        <w:t xml:space="preserve"> СПСЧ</w:t>
      </w:r>
      <w:r w:rsidR="00414E61">
        <w:rPr>
          <w:color w:val="000000"/>
        </w:rPr>
        <w:t xml:space="preserve">. </w:t>
      </w:r>
    </w:p>
    <w:p w:rsidR="0096195E" w:rsidRDefault="0096195E" w:rsidP="00055F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Непроизводственные активы</w:t>
      </w:r>
      <w:r w:rsidR="00C22757">
        <w:rPr>
          <w:color w:val="000000"/>
        </w:rPr>
        <w:t xml:space="preserve"> в размере 3 429 843,0 руб. (</w:t>
      </w:r>
      <w:r w:rsidR="00414E61">
        <w:rPr>
          <w:color w:val="000000"/>
        </w:rPr>
        <w:t>з</w:t>
      </w:r>
      <w:r w:rsidR="00C22757">
        <w:rPr>
          <w:color w:val="000000"/>
        </w:rPr>
        <w:t>емельны</w:t>
      </w:r>
      <w:r w:rsidR="00414E61">
        <w:rPr>
          <w:color w:val="000000"/>
        </w:rPr>
        <w:t>й</w:t>
      </w:r>
      <w:r w:rsidR="00C22757">
        <w:rPr>
          <w:color w:val="000000"/>
        </w:rPr>
        <w:t xml:space="preserve"> участ</w:t>
      </w:r>
      <w:r w:rsidR="00414E61">
        <w:rPr>
          <w:color w:val="000000"/>
        </w:rPr>
        <w:t>ок -2</w:t>
      </w:r>
      <w:r w:rsidR="00C22757">
        <w:rPr>
          <w:color w:val="000000"/>
        </w:rPr>
        <w:t>).</w:t>
      </w:r>
    </w:p>
    <w:p w:rsidR="00C22757" w:rsidRDefault="00C22757" w:rsidP="00055F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Материальные запасы на общую сумму 8 630 496,31 руб.</w:t>
      </w:r>
    </w:p>
    <w:p w:rsidR="00C22757" w:rsidRDefault="00142F24" w:rsidP="00055F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 w:rsidRPr="00142F24">
        <w:rPr>
          <w:color w:val="000000"/>
          <w:u w:val="single"/>
        </w:rPr>
        <w:t>В соответствии с новыми стандартами</w:t>
      </w:r>
      <w:r>
        <w:rPr>
          <w:color w:val="000000"/>
          <w:u w:val="single"/>
        </w:rPr>
        <w:t xml:space="preserve"> </w:t>
      </w:r>
      <w:r w:rsidRPr="00142F24">
        <w:rPr>
          <w:color w:val="000000"/>
          <w:u w:val="single"/>
        </w:rPr>
        <w:t>по счету 111</w:t>
      </w:r>
      <w:r>
        <w:rPr>
          <w:color w:val="000000"/>
        </w:rPr>
        <w:t xml:space="preserve"> «</w:t>
      </w:r>
      <w:r w:rsidR="00C22757">
        <w:rPr>
          <w:color w:val="000000"/>
        </w:rPr>
        <w:t>Права пользования активами</w:t>
      </w:r>
      <w:r>
        <w:rPr>
          <w:color w:val="000000"/>
        </w:rPr>
        <w:t xml:space="preserve">» </w:t>
      </w:r>
      <w:r w:rsidR="0002185A">
        <w:rPr>
          <w:color w:val="000000"/>
        </w:rPr>
        <w:t xml:space="preserve">составляют </w:t>
      </w:r>
      <w:r w:rsidR="00C22757">
        <w:rPr>
          <w:color w:val="000000"/>
        </w:rPr>
        <w:t>на</w:t>
      </w:r>
      <w:r w:rsidR="0002185A">
        <w:rPr>
          <w:color w:val="000000"/>
        </w:rPr>
        <w:t xml:space="preserve"> общую</w:t>
      </w:r>
      <w:r w:rsidR="00C22757">
        <w:rPr>
          <w:color w:val="000000"/>
        </w:rPr>
        <w:t xml:space="preserve"> сумму 2 369 874,91руб. </w:t>
      </w:r>
      <w:r>
        <w:rPr>
          <w:color w:val="000000"/>
        </w:rPr>
        <w:t>П</w:t>
      </w:r>
      <w:r w:rsidR="00C22757">
        <w:rPr>
          <w:color w:val="000000"/>
        </w:rPr>
        <w:t>о</w:t>
      </w:r>
      <w:r>
        <w:rPr>
          <w:color w:val="000000"/>
        </w:rPr>
        <w:t xml:space="preserve"> </w:t>
      </w:r>
      <w:r w:rsidR="00C22757">
        <w:rPr>
          <w:color w:val="000000"/>
        </w:rPr>
        <w:t>договору</w:t>
      </w:r>
      <w:r w:rsidR="00414E61">
        <w:rPr>
          <w:color w:val="000000"/>
        </w:rPr>
        <w:t xml:space="preserve"> </w:t>
      </w:r>
      <w:r w:rsidR="00C22757">
        <w:rPr>
          <w:color w:val="000000"/>
        </w:rPr>
        <w:t>безвозмездно</w:t>
      </w:r>
      <w:r w:rsidR="00414E61">
        <w:rPr>
          <w:color w:val="000000"/>
        </w:rPr>
        <w:t>го</w:t>
      </w:r>
      <w:r w:rsidR="00C22757">
        <w:rPr>
          <w:color w:val="000000"/>
        </w:rPr>
        <w:t xml:space="preserve"> пользовани</w:t>
      </w:r>
      <w:r w:rsidR="00414E61">
        <w:rPr>
          <w:color w:val="000000"/>
        </w:rPr>
        <w:t>я</w:t>
      </w:r>
      <w:r>
        <w:rPr>
          <w:color w:val="000000"/>
        </w:rPr>
        <w:t xml:space="preserve"> получено по счету </w:t>
      </w:r>
      <w:r w:rsidRPr="00142F24">
        <w:rPr>
          <w:color w:val="000000"/>
          <w:u w:val="single"/>
        </w:rPr>
        <w:t>111.44 «Право пользования машин и оборудования»</w:t>
      </w:r>
      <w:r>
        <w:rPr>
          <w:color w:val="000000"/>
        </w:rPr>
        <w:t xml:space="preserve"> с 4 ОФПС для обеспечения деятельности ОНД</w:t>
      </w:r>
      <w:r w:rsidRPr="00142F24">
        <w:rPr>
          <w:color w:val="000000"/>
        </w:rPr>
        <w:t xml:space="preserve"> </w:t>
      </w:r>
      <w:r>
        <w:rPr>
          <w:color w:val="000000"/>
        </w:rPr>
        <w:t>радиостанцией и СГУ; по счету 111.45 «Право пользования транспортными средствами» на сумму 2 348 333,33руб.</w:t>
      </w:r>
      <w:r w:rsidR="0002185A">
        <w:rPr>
          <w:color w:val="000000"/>
        </w:rPr>
        <w:t xml:space="preserve"> «Амортизация  прав пользования активами» всего -1 045 735,80 руб.</w:t>
      </w:r>
    </w:p>
    <w:p w:rsidR="0002185A" w:rsidRPr="004E6047" w:rsidRDefault="0002185A" w:rsidP="00055F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 движению  материальных ценностей  на </w:t>
      </w:r>
      <w:proofErr w:type="spellStart"/>
      <w:r>
        <w:rPr>
          <w:color w:val="000000"/>
        </w:rPr>
        <w:t>забалансовых</w:t>
      </w:r>
      <w:proofErr w:type="spellEnd"/>
      <w:r>
        <w:rPr>
          <w:color w:val="000000"/>
        </w:rPr>
        <w:t xml:space="preserve"> счетах наличие на конец года по счету 01 «Имущество, полученное в пользование» -17 500 руб. (лицензионное соглашение) </w:t>
      </w:r>
    </w:p>
    <w:p w:rsidR="0015107D" w:rsidRDefault="0002185A" w:rsidP="00055FFC">
      <w:pPr>
        <w:autoSpaceDE w:val="0"/>
        <w:autoSpaceDN w:val="0"/>
        <w:adjustRightInd w:val="0"/>
        <w:ind w:firstLine="709"/>
        <w:jc w:val="both"/>
        <w:rPr>
          <w:i/>
          <w:color w:val="000000"/>
          <w:u w:val="single"/>
        </w:rPr>
      </w:pPr>
      <w:r>
        <w:rPr>
          <w:color w:val="000000"/>
        </w:rPr>
        <w:t>по счету 02 «Материальные ценности на хранении» на общую сумму 12 239,28 руб.</w:t>
      </w:r>
      <w:r w:rsidR="000E18B8">
        <w:rPr>
          <w:color w:val="000000"/>
        </w:rPr>
        <w:t xml:space="preserve"> Имущество подлежащее списанию: 1</w:t>
      </w:r>
      <w:r w:rsidR="004F6050">
        <w:rPr>
          <w:color w:val="000000"/>
        </w:rPr>
        <w:t>3</w:t>
      </w:r>
      <w:r w:rsidR="000E18B8">
        <w:rPr>
          <w:color w:val="000000"/>
        </w:rPr>
        <w:t xml:space="preserve"> автом</w:t>
      </w:r>
      <w:r w:rsidR="004F6050">
        <w:rPr>
          <w:color w:val="000000"/>
        </w:rPr>
        <w:t>обилей территориальных подразделений ГПН, 6 дыхательных аппарата, оргтехника.</w:t>
      </w:r>
      <w:r w:rsidR="000E18B8">
        <w:rPr>
          <w:color w:val="000000"/>
        </w:rPr>
        <w:t xml:space="preserve"> </w:t>
      </w:r>
    </w:p>
    <w:p w:rsidR="0015107D" w:rsidRDefault="0015107D" w:rsidP="00055FFC">
      <w:pPr>
        <w:autoSpaceDE w:val="0"/>
        <w:autoSpaceDN w:val="0"/>
        <w:adjustRightInd w:val="0"/>
        <w:ind w:firstLine="709"/>
        <w:jc w:val="both"/>
        <w:rPr>
          <w:i/>
          <w:color w:val="000000"/>
          <w:u w:val="single"/>
        </w:rPr>
      </w:pPr>
    </w:p>
    <w:p w:rsidR="00055FFC" w:rsidRDefault="00055FFC" w:rsidP="00055FFC">
      <w:pPr>
        <w:autoSpaceDE w:val="0"/>
        <w:autoSpaceDN w:val="0"/>
        <w:adjustRightInd w:val="0"/>
        <w:ind w:firstLine="709"/>
        <w:jc w:val="both"/>
        <w:rPr>
          <w:i/>
          <w:color w:val="000000"/>
          <w:u w:val="single"/>
        </w:rPr>
      </w:pPr>
      <w:r w:rsidRPr="00C00072">
        <w:rPr>
          <w:i/>
          <w:color w:val="000000"/>
          <w:u w:val="single"/>
        </w:rPr>
        <w:t>Сведения по дебиторской и кредиторской задолженности (ф.0503169)</w:t>
      </w:r>
    </w:p>
    <w:p w:rsidR="00E43954" w:rsidRDefault="00E43954" w:rsidP="00E43954">
      <w:pPr>
        <w:ind w:firstLine="720"/>
        <w:jc w:val="both"/>
        <w:rPr>
          <w:b/>
          <w:i/>
          <w:sz w:val="28"/>
          <w:szCs w:val="28"/>
        </w:rPr>
      </w:pPr>
    </w:p>
    <w:p w:rsidR="00E43954" w:rsidRPr="00F5224F" w:rsidRDefault="00E43954" w:rsidP="00E43954">
      <w:pPr>
        <w:ind w:firstLine="720"/>
        <w:jc w:val="both"/>
        <w:rPr>
          <w:highlight w:val="yellow"/>
        </w:rPr>
      </w:pPr>
      <w:r w:rsidRPr="00901235">
        <w:t xml:space="preserve">Дебиторская задолженность </w:t>
      </w:r>
      <w:r w:rsidRPr="004E6ED2">
        <w:t xml:space="preserve">на </w:t>
      </w:r>
      <w:r w:rsidRPr="00901235">
        <w:t>01.01.2019</w:t>
      </w:r>
      <w:r w:rsidRPr="004E6ED2">
        <w:t>г</w:t>
      </w:r>
      <w:r w:rsidR="00901235">
        <w:t>.</w:t>
      </w:r>
      <w:r w:rsidRPr="004E6ED2">
        <w:t xml:space="preserve"> состав</w:t>
      </w:r>
      <w:r w:rsidR="0013096A">
        <w:t>ляет</w:t>
      </w:r>
      <w:r w:rsidRPr="004E6ED2">
        <w:t xml:space="preserve"> </w:t>
      </w:r>
      <w:r w:rsidR="0013096A" w:rsidRPr="00A0651C">
        <w:rPr>
          <w:b/>
        </w:rPr>
        <w:t>1 920 483,39</w:t>
      </w:r>
      <w:r w:rsidRPr="00A0651C">
        <w:t xml:space="preserve"> рублей</w:t>
      </w:r>
      <w:r w:rsidRPr="00A0651C">
        <w:rPr>
          <w:b/>
          <w:i/>
        </w:rPr>
        <w:t>.</w:t>
      </w:r>
    </w:p>
    <w:p w:rsidR="00E43954" w:rsidRPr="00A0651C" w:rsidRDefault="00E43954" w:rsidP="00E43954">
      <w:pPr>
        <w:ind w:firstLine="720"/>
        <w:jc w:val="both"/>
      </w:pPr>
      <w:r w:rsidRPr="00A0651C">
        <w:t xml:space="preserve">Дебиторская задолженность по бюджетной деятельности на конец отчетного периода снизилась по сравнению с аналогичным периодом прошлого года на </w:t>
      </w:r>
      <w:r w:rsidR="0013096A" w:rsidRPr="00A0651C">
        <w:rPr>
          <w:b/>
        </w:rPr>
        <w:t>47,6</w:t>
      </w:r>
      <w:r w:rsidRPr="00A0651C">
        <w:t xml:space="preserve">%. </w:t>
      </w:r>
    </w:p>
    <w:p w:rsidR="00E43954" w:rsidRPr="00A0651C" w:rsidRDefault="00E43954" w:rsidP="00E43954">
      <w:pPr>
        <w:ind w:firstLine="720"/>
        <w:jc w:val="both"/>
      </w:pPr>
    </w:p>
    <w:p w:rsidR="00E43954" w:rsidRPr="007F07DF" w:rsidRDefault="00E43954" w:rsidP="00005F7C">
      <w:pPr>
        <w:jc w:val="both"/>
      </w:pPr>
      <w:r w:rsidRPr="00A0651C">
        <w:t xml:space="preserve">По счету </w:t>
      </w:r>
      <w:r w:rsidRPr="00A0651C">
        <w:rPr>
          <w:i/>
          <w:u w:val="single"/>
        </w:rPr>
        <w:t>206</w:t>
      </w:r>
      <w:r w:rsidR="004A178A" w:rsidRPr="00A0651C">
        <w:rPr>
          <w:i/>
          <w:u w:val="single"/>
        </w:rPr>
        <w:t>.28</w:t>
      </w:r>
      <w:r w:rsidR="004A178A" w:rsidRPr="00A0651C">
        <w:t xml:space="preserve"> «</w:t>
      </w:r>
      <w:r w:rsidR="004A178A" w:rsidRPr="00A0651C">
        <w:rPr>
          <w:i/>
        </w:rPr>
        <w:t>Расчеты по авансам по услугам, работам для целей капитальных вложений</w:t>
      </w:r>
      <w:r w:rsidR="004A178A" w:rsidRPr="00A0651C">
        <w:t>»</w:t>
      </w:r>
      <w:r w:rsidR="00DE594C" w:rsidRPr="00A0651C">
        <w:t xml:space="preserve"> общая сумма задолженности </w:t>
      </w:r>
      <w:r w:rsidR="00657DD5" w:rsidRPr="00A0651C">
        <w:t>275 431,34</w:t>
      </w:r>
      <w:r w:rsidR="00DE594C" w:rsidRPr="00A0651C">
        <w:t xml:space="preserve"> </w:t>
      </w:r>
      <w:r w:rsidRPr="00A0651C">
        <w:t>руб</w:t>
      </w:r>
      <w:r w:rsidR="00DE594C" w:rsidRPr="00A0651C">
        <w:t xml:space="preserve">лей </w:t>
      </w:r>
      <w:r w:rsidRPr="00A0651C">
        <w:t>(</w:t>
      </w:r>
      <w:r w:rsidR="00A0651C" w:rsidRPr="00A0651C">
        <w:t>14,3</w:t>
      </w:r>
      <w:r w:rsidRPr="00A0651C">
        <w:t>%)</w:t>
      </w:r>
      <w:r w:rsidR="00005F7C" w:rsidRPr="00A0651C">
        <w:t xml:space="preserve"> </w:t>
      </w:r>
    </w:p>
    <w:p w:rsidR="00F2532F" w:rsidRDefault="007F07DF" w:rsidP="00E43954">
      <w:pPr>
        <w:overflowPunct w:val="0"/>
        <w:autoSpaceDE w:val="0"/>
        <w:autoSpaceDN w:val="0"/>
        <w:adjustRightInd w:val="0"/>
        <w:ind w:firstLine="709"/>
        <w:jc w:val="both"/>
      </w:pPr>
      <w:r>
        <w:t xml:space="preserve">В состав текущей задолженности вошли </w:t>
      </w:r>
      <w:r w:rsidR="00E43954">
        <w:t xml:space="preserve">авансовые платежи </w:t>
      </w:r>
      <w:r>
        <w:t xml:space="preserve">на </w:t>
      </w:r>
      <w:r w:rsidR="00E43954">
        <w:t>проведение работ по строительств</w:t>
      </w:r>
      <w:r>
        <w:t xml:space="preserve">у объекта Главного управления </w:t>
      </w:r>
      <w:r w:rsidR="00E43954">
        <w:t xml:space="preserve">«Реконструкция и </w:t>
      </w:r>
      <w:r w:rsidR="00E43954" w:rsidRPr="004E6ED2">
        <w:t>строительств</w:t>
      </w:r>
      <w:r w:rsidR="00E43954">
        <w:t>о СПСЧ ФПС по РС (Я)»</w:t>
      </w:r>
      <w:r w:rsidR="00F2532F">
        <w:t xml:space="preserve"> Вилюйский тракт</w:t>
      </w:r>
      <w:r w:rsidR="00E43954">
        <w:t>,</w:t>
      </w:r>
      <w:r w:rsidR="00F2532F">
        <w:t xml:space="preserve"> гор. Якутск</w:t>
      </w:r>
      <w:r w:rsidR="00E43954">
        <w:t xml:space="preserve"> по </w:t>
      </w:r>
      <w:r>
        <w:t xml:space="preserve">коду </w:t>
      </w:r>
      <w:r w:rsidR="00E43954">
        <w:t>0310 101059 4009 413</w:t>
      </w:r>
      <w:r w:rsidR="00E43954" w:rsidRPr="005F1939">
        <w:t xml:space="preserve"> </w:t>
      </w:r>
      <w:r w:rsidR="00E43954">
        <w:t>в рамках ГОЗ</w:t>
      </w:r>
      <w:r w:rsidR="00F2532F">
        <w:t xml:space="preserve"> на общую сумму </w:t>
      </w:r>
      <w:r w:rsidR="00F2532F" w:rsidRPr="00F2532F">
        <w:t>275 431,34 руб.</w:t>
      </w:r>
      <w:r w:rsidR="00F2532F">
        <w:t xml:space="preserve"> по следующим дебиторам:</w:t>
      </w:r>
    </w:p>
    <w:p w:rsidR="00F2532F" w:rsidRDefault="00E43954" w:rsidP="00E43954">
      <w:pPr>
        <w:overflowPunct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7F07DF">
        <w:t>ООО «</w:t>
      </w:r>
      <w:proofErr w:type="spellStart"/>
      <w:r w:rsidRPr="007F07DF">
        <w:t>Союзпроект</w:t>
      </w:r>
      <w:proofErr w:type="spellEnd"/>
      <w:r w:rsidRPr="007F07DF">
        <w:t>» 173 319 руб. за авторский надзор ПИР;</w:t>
      </w:r>
      <w:r w:rsidR="00F2532F">
        <w:t xml:space="preserve"> </w:t>
      </w:r>
    </w:p>
    <w:p w:rsidR="00F2532F" w:rsidRDefault="00F2532F" w:rsidP="00E43954">
      <w:pPr>
        <w:overflowPunct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E43954" w:rsidRPr="007F07DF">
        <w:t>АО «</w:t>
      </w:r>
      <w:proofErr w:type="spellStart"/>
      <w:r w:rsidR="00E43954" w:rsidRPr="007F07DF">
        <w:t>Теплоэнергия</w:t>
      </w:r>
      <w:proofErr w:type="spellEnd"/>
      <w:r w:rsidR="00E43954" w:rsidRPr="007F07DF">
        <w:t>» 996,86</w:t>
      </w:r>
      <w:r>
        <w:t xml:space="preserve"> </w:t>
      </w:r>
      <w:r w:rsidR="00E43954" w:rsidRPr="007F07DF">
        <w:t>руб. тех</w:t>
      </w:r>
      <w:r>
        <w:t xml:space="preserve">. </w:t>
      </w:r>
      <w:r w:rsidR="00E43954" w:rsidRPr="007F07DF">
        <w:t xml:space="preserve">присоединение </w:t>
      </w:r>
      <w:r>
        <w:t xml:space="preserve">к </w:t>
      </w:r>
      <w:r w:rsidR="00E43954" w:rsidRPr="007F07DF">
        <w:t>водоснабжению;</w:t>
      </w:r>
    </w:p>
    <w:p w:rsidR="00E43954" w:rsidRDefault="00F2532F" w:rsidP="00E43954">
      <w:pPr>
        <w:overflowPunct w:val="0"/>
        <w:autoSpaceDE w:val="0"/>
        <w:autoSpaceDN w:val="0"/>
        <w:adjustRightInd w:val="0"/>
        <w:ind w:firstLine="709"/>
        <w:jc w:val="both"/>
        <w:rPr>
          <w:b/>
          <w:i/>
        </w:rPr>
      </w:pPr>
      <w:r>
        <w:t xml:space="preserve"> </w:t>
      </w:r>
      <w:r w:rsidR="00E43954" w:rsidRPr="007F07DF">
        <w:t>АО «</w:t>
      </w:r>
      <w:proofErr w:type="spellStart"/>
      <w:r w:rsidR="00E43954" w:rsidRPr="007F07DF">
        <w:t>Теплоэнергия</w:t>
      </w:r>
      <w:proofErr w:type="spellEnd"/>
      <w:r w:rsidR="00E43954" w:rsidRPr="007F07DF">
        <w:t xml:space="preserve">» </w:t>
      </w:r>
      <w:r w:rsidR="007F07DF">
        <w:t>101</w:t>
      </w:r>
      <w:r>
        <w:t xml:space="preserve"> </w:t>
      </w:r>
      <w:r w:rsidR="00E43954" w:rsidRPr="007F07DF">
        <w:t>115,48</w:t>
      </w:r>
      <w:r>
        <w:t xml:space="preserve"> </w:t>
      </w:r>
      <w:r w:rsidR="00E43954" w:rsidRPr="007F07DF">
        <w:t>руб.</w:t>
      </w:r>
      <w:r>
        <w:t xml:space="preserve"> </w:t>
      </w:r>
      <w:r w:rsidR="00E43954" w:rsidRPr="0088293F">
        <w:t>тех</w:t>
      </w:r>
      <w:r>
        <w:t xml:space="preserve">. </w:t>
      </w:r>
      <w:r w:rsidR="00E43954" w:rsidRPr="0088293F">
        <w:t xml:space="preserve">присоединение </w:t>
      </w:r>
      <w:r>
        <w:t xml:space="preserve">к </w:t>
      </w:r>
      <w:r w:rsidR="00E43954" w:rsidRPr="0088293F">
        <w:t>теплоснабжению</w:t>
      </w:r>
      <w:r w:rsidR="00E43954">
        <w:rPr>
          <w:b/>
          <w:i/>
        </w:rPr>
        <w:t>.</w:t>
      </w:r>
    </w:p>
    <w:p w:rsidR="00E43954" w:rsidRDefault="00E43954" w:rsidP="00E43954">
      <w:pPr>
        <w:overflowPunct w:val="0"/>
        <w:autoSpaceDE w:val="0"/>
        <w:autoSpaceDN w:val="0"/>
        <w:adjustRightInd w:val="0"/>
        <w:ind w:firstLine="709"/>
        <w:jc w:val="both"/>
      </w:pPr>
    </w:p>
    <w:p w:rsidR="00E43954" w:rsidRPr="005E4E8A" w:rsidRDefault="005E4E8A" w:rsidP="00E43954">
      <w:pPr>
        <w:jc w:val="both"/>
      </w:pPr>
      <w:r w:rsidRPr="005E4E8A">
        <w:t xml:space="preserve">По счету </w:t>
      </w:r>
      <w:r w:rsidRPr="005E4E8A">
        <w:rPr>
          <w:i/>
          <w:u w:val="single"/>
        </w:rPr>
        <w:t>208</w:t>
      </w:r>
      <w:r w:rsidRPr="005E4E8A">
        <w:t xml:space="preserve"> </w:t>
      </w:r>
      <w:r w:rsidR="00E43954" w:rsidRPr="005E4E8A">
        <w:t>«Расчеты с подотчетными лицами» 392 085,01 руб. (</w:t>
      </w:r>
      <w:r w:rsidR="00A0651C">
        <w:t>20,4</w:t>
      </w:r>
      <w:r w:rsidR="00E43954" w:rsidRPr="005E4E8A">
        <w:t>%).</w:t>
      </w:r>
    </w:p>
    <w:p w:rsidR="00E43954" w:rsidRPr="005E4E8A" w:rsidRDefault="005E4E8A" w:rsidP="002555E1">
      <w:pPr>
        <w:jc w:val="both"/>
        <w:rPr>
          <w:highlight w:val="yellow"/>
        </w:rPr>
      </w:pPr>
      <w:r w:rsidRPr="005E4E8A">
        <w:t xml:space="preserve">По счету </w:t>
      </w:r>
      <w:r w:rsidRPr="005E4E8A">
        <w:rPr>
          <w:i/>
          <w:u w:val="single"/>
        </w:rPr>
        <w:t>209</w:t>
      </w:r>
      <w:r w:rsidRPr="005E4E8A">
        <w:t xml:space="preserve"> </w:t>
      </w:r>
      <w:r w:rsidR="00E43954" w:rsidRPr="005E4E8A">
        <w:t>«Расчеты по доходам бюджета от возврата дебиторской задолженности прошлых лет» составляют в сумме 1 093 797,93 руб. (</w:t>
      </w:r>
      <w:r w:rsidR="00A0651C">
        <w:t>57</w:t>
      </w:r>
      <w:r w:rsidR="00E43954" w:rsidRPr="005E4E8A">
        <w:t>%).</w:t>
      </w:r>
    </w:p>
    <w:p w:rsidR="00E43954" w:rsidRPr="005E4E8A" w:rsidRDefault="005E4E8A" w:rsidP="00E43954">
      <w:pPr>
        <w:autoSpaceDE w:val="0"/>
        <w:autoSpaceDN w:val="0"/>
        <w:adjustRightInd w:val="0"/>
        <w:jc w:val="both"/>
      </w:pPr>
      <w:r w:rsidRPr="005E4E8A">
        <w:t xml:space="preserve">По счету </w:t>
      </w:r>
      <w:r w:rsidRPr="005E4E8A">
        <w:rPr>
          <w:i/>
          <w:u w:val="single"/>
        </w:rPr>
        <w:t>303</w:t>
      </w:r>
      <w:r w:rsidRPr="005E4E8A">
        <w:t xml:space="preserve"> </w:t>
      </w:r>
      <w:r w:rsidR="00E43954" w:rsidRPr="005E4E8A">
        <w:t>«Расчеты по платежам в бюджеты» 159 169,11 руб. (</w:t>
      </w:r>
      <w:r w:rsidR="00A0651C">
        <w:t>8,3</w:t>
      </w:r>
      <w:r w:rsidR="00E43954" w:rsidRPr="005E4E8A">
        <w:t xml:space="preserve">%). </w:t>
      </w:r>
    </w:p>
    <w:p w:rsidR="00E43954" w:rsidRPr="004E6ED2" w:rsidRDefault="00E43954" w:rsidP="00E43954">
      <w:pPr>
        <w:autoSpaceDE w:val="0"/>
        <w:autoSpaceDN w:val="0"/>
        <w:adjustRightInd w:val="0"/>
        <w:ind w:firstLine="708"/>
        <w:jc w:val="both"/>
      </w:pPr>
    </w:p>
    <w:p w:rsidR="00BC26A1" w:rsidRPr="00B03760" w:rsidRDefault="002A7E54" w:rsidP="002A7E54">
      <w:pPr>
        <w:jc w:val="both"/>
      </w:pPr>
      <w:r>
        <w:t xml:space="preserve">         </w:t>
      </w:r>
      <w:r w:rsidR="005E4E8A" w:rsidRPr="00A25338">
        <w:t>По состоянию на 01 января 2019 года к</w:t>
      </w:r>
      <w:r w:rsidR="00E43954" w:rsidRPr="00A25338">
        <w:t>редиторская задолженность</w:t>
      </w:r>
      <w:r w:rsidR="005E4E8A" w:rsidRPr="00A25338">
        <w:t xml:space="preserve"> </w:t>
      </w:r>
      <w:r w:rsidR="00E43954" w:rsidRPr="00A25338">
        <w:t xml:space="preserve">составляет </w:t>
      </w:r>
      <w:r w:rsidR="00E43954" w:rsidRPr="00A25338">
        <w:rPr>
          <w:b/>
        </w:rPr>
        <w:t>362 800,0руб</w:t>
      </w:r>
      <w:r w:rsidR="00E43954" w:rsidRPr="00A25338">
        <w:t xml:space="preserve">., по сравнению с аналогичным периодом прошлого года, наблюдается снижение на </w:t>
      </w:r>
      <w:r w:rsidR="00E43954" w:rsidRPr="005300E7">
        <w:rPr>
          <w:b/>
        </w:rPr>
        <w:t>6,8</w:t>
      </w:r>
      <w:r w:rsidR="00E43954" w:rsidRPr="00A25338">
        <w:t>%.</w:t>
      </w:r>
      <w:r w:rsidR="00E43954" w:rsidRPr="00B03760">
        <w:t xml:space="preserve"> </w:t>
      </w:r>
    </w:p>
    <w:p w:rsidR="00E43954" w:rsidRPr="005E4E8A" w:rsidRDefault="002A7E54" w:rsidP="002A7E54">
      <w:pPr>
        <w:jc w:val="both"/>
      </w:pPr>
      <w:r>
        <w:t xml:space="preserve">         </w:t>
      </w:r>
      <w:r w:rsidR="00B03760" w:rsidRPr="002A7E54">
        <w:t>Кредиторская</w:t>
      </w:r>
      <w:r w:rsidR="00BC26A1" w:rsidRPr="002A7E54">
        <w:t xml:space="preserve"> з</w:t>
      </w:r>
      <w:r w:rsidR="005B693A" w:rsidRPr="002A7E54">
        <w:t>адолженност</w:t>
      </w:r>
      <w:r w:rsidR="00B03760" w:rsidRPr="002A7E54">
        <w:t xml:space="preserve">ь образовалась </w:t>
      </w:r>
      <w:r w:rsidR="0055096E" w:rsidRPr="002A7E54">
        <w:t xml:space="preserve">по </w:t>
      </w:r>
      <w:r w:rsidR="00B03760" w:rsidRPr="002A7E54">
        <w:t>расчет</w:t>
      </w:r>
      <w:r w:rsidR="00126DA6" w:rsidRPr="002A7E54">
        <w:t>ам с плательщиками налоговых доходов (на 95%) в сумме 344 650,0 руб., по</w:t>
      </w:r>
      <w:r w:rsidR="00B03760" w:rsidRPr="002A7E54">
        <w:t xml:space="preserve"> уплаченны</w:t>
      </w:r>
      <w:r w:rsidR="00126DA6" w:rsidRPr="002A7E54">
        <w:t>м</w:t>
      </w:r>
      <w:r w:rsidR="00B03760" w:rsidRPr="002A7E54">
        <w:t xml:space="preserve"> платеж</w:t>
      </w:r>
      <w:r w:rsidR="00126DA6" w:rsidRPr="002A7E54">
        <w:t>ам</w:t>
      </w:r>
      <w:r w:rsidR="00B03760" w:rsidRPr="002A7E54">
        <w:t xml:space="preserve"> в отчетном периоде </w:t>
      </w:r>
      <w:r w:rsidR="005E4E8A" w:rsidRPr="002A7E54">
        <w:t>за</w:t>
      </w:r>
      <w:r w:rsidR="002555E1" w:rsidRPr="002A7E54">
        <w:t xml:space="preserve"> лицензировани</w:t>
      </w:r>
      <w:r w:rsidR="005E4E8A" w:rsidRPr="002A7E54">
        <w:t>е</w:t>
      </w:r>
      <w:r w:rsidR="00E43954" w:rsidRPr="002A7E54">
        <w:t xml:space="preserve"> </w:t>
      </w:r>
      <w:r w:rsidR="002555E1" w:rsidRPr="002A7E54">
        <w:t xml:space="preserve">и </w:t>
      </w:r>
      <w:r w:rsidR="00126DA6" w:rsidRPr="002A7E54">
        <w:t xml:space="preserve">текущей задолженности </w:t>
      </w:r>
      <w:r w:rsidR="00E43954" w:rsidRPr="002A7E54">
        <w:t xml:space="preserve">по </w:t>
      </w:r>
      <w:r w:rsidR="00B03760" w:rsidRPr="002A7E54">
        <w:t>уплате</w:t>
      </w:r>
      <w:r w:rsidR="005E4E8A" w:rsidRPr="002A7E54">
        <w:t xml:space="preserve"> </w:t>
      </w:r>
      <w:r w:rsidR="002555E1" w:rsidRPr="002A7E54">
        <w:t>земельн</w:t>
      </w:r>
      <w:r w:rsidR="00B03760" w:rsidRPr="002A7E54">
        <w:t>ого</w:t>
      </w:r>
      <w:r w:rsidR="002555E1" w:rsidRPr="002A7E54">
        <w:t xml:space="preserve"> налог</w:t>
      </w:r>
      <w:r w:rsidR="00B03760" w:rsidRPr="002A7E54">
        <w:t>а</w:t>
      </w:r>
      <w:r w:rsidR="002555E1" w:rsidRPr="002A7E54">
        <w:t xml:space="preserve"> </w:t>
      </w:r>
      <w:r w:rsidR="00E43954" w:rsidRPr="002A7E54">
        <w:t>18 150,0 руб. (5%).</w:t>
      </w:r>
    </w:p>
    <w:p w:rsidR="00055FFC" w:rsidRPr="002A7E54" w:rsidRDefault="00590C88" w:rsidP="00055FFC">
      <w:pPr>
        <w:pStyle w:val="a6"/>
        <w:spacing w:after="0"/>
        <w:ind w:left="0" w:firstLine="567"/>
        <w:jc w:val="both"/>
      </w:pPr>
      <w:r w:rsidRPr="002A7E54">
        <w:t>Задолженность перед личным составом Главного управления МЧС России по Республике Саха (Якутия) по итогам 201</w:t>
      </w:r>
      <w:r w:rsidR="0085093B" w:rsidRPr="002A7E54">
        <w:t>8</w:t>
      </w:r>
      <w:r w:rsidRPr="002A7E54">
        <w:t xml:space="preserve"> г</w:t>
      </w:r>
      <w:r w:rsidR="00094A8E" w:rsidRPr="002A7E54">
        <w:t>.</w:t>
      </w:r>
      <w:r w:rsidRPr="002A7E54">
        <w:t xml:space="preserve"> по обязательным платежам заработной плат</w:t>
      </w:r>
      <w:r w:rsidR="00125D68" w:rsidRPr="002A7E54">
        <w:t>ы</w:t>
      </w:r>
      <w:r w:rsidRPr="002A7E54">
        <w:t xml:space="preserve"> и денежно</w:t>
      </w:r>
      <w:r w:rsidR="00125D68" w:rsidRPr="002A7E54">
        <w:t>го</w:t>
      </w:r>
      <w:r w:rsidRPr="002A7E54">
        <w:t xml:space="preserve"> довольстви</w:t>
      </w:r>
      <w:r w:rsidR="00125D68" w:rsidRPr="002A7E54">
        <w:t>я</w:t>
      </w:r>
      <w:r w:rsidRPr="002A7E54">
        <w:t xml:space="preserve"> отсутствует.</w:t>
      </w:r>
    </w:p>
    <w:p w:rsidR="002A7E54" w:rsidRDefault="002A7E54" w:rsidP="00055FFC">
      <w:pPr>
        <w:pStyle w:val="a6"/>
        <w:spacing w:after="0"/>
        <w:ind w:left="0" w:firstLine="567"/>
        <w:jc w:val="both"/>
        <w:rPr>
          <w:b/>
        </w:rPr>
      </w:pPr>
    </w:p>
    <w:p w:rsidR="00126DA6" w:rsidRDefault="002A7E54" w:rsidP="00055FFC">
      <w:pPr>
        <w:pStyle w:val="a6"/>
        <w:spacing w:after="0"/>
        <w:ind w:left="0" w:firstLine="567"/>
        <w:jc w:val="both"/>
        <w:rPr>
          <w:b/>
        </w:rPr>
      </w:pPr>
      <w:r>
        <w:rPr>
          <w:b/>
        </w:rPr>
        <w:t>Резервы предстоящих расходов</w:t>
      </w:r>
    </w:p>
    <w:p w:rsidR="002A7E54" w:rsidRDefault="002A7E54" w:rsidP="00055FFC">
      <w:pPr>
        <w:pStyle w:val="a6"/>
        <w:spacing w:after="0"/>
        <w:ind w:left="0" w:firstLine="567"/>
        <w:jc w:val="both"/>
        <w:rPr>
          <w:b/>
        </w:rPr>
      </w:pPr>
    </w:p>
    <w:p w:rsidR="00126DA6" w:rsidRPr="00901235" w:rsidRDefault="00C632B0" w:rsidP="00055FFC">
      <w:pPr>
        <w:pStyle w:val="a6"/>
        <w:spacing w:after="0"/>
        <w:ind w:left="0" w:firstLine="567"/>
        <w:jc w:val="both"/>
      </w:pPr>
      <w:r w:rsidRPr="00901235">
        <w:t>Резерв</w:t>
      </w:r>
      <w:r w:rsidR="00901235" w:rsidRPr="00901235">
        <w:t>ы</w:t>
      </w:r>
      <w:r w:rsidRPr="00901235">
        <w:t xml:space="preserve"> на предстоящую оплату отпусков госслужащих </w:t>
      </w:r>
      <w:r w:rsidR="00EE5062" w:rsidRPr="00901235">
        <w:t xml:space="preserve">Главного управления </w:t>
      </w:r>
      <w:r w:rsidR="005557FC" w:rsidRPr="00901235">
        <w:t xml:space="preserve">МЧС России по Республике Саха (Якутия) </w:t>
      </w:r>
      <w:r w:rsidR="00EE5062" w:rsidRPr="00901235">
        <w:t xml:space="preserve">составляют </w:t>
      </w:r>
      <w:r w:rsidR="00EE5062" w:rsidRPr="008273E0">
        <w:rPr>
          <w:b/>
        </w:rPr>
        <w:t>1</w:t>
      </w:r>
      <w:r w:rsidR="00901235" w:rsidRPr="008273E0">
        <w:rPr>
          <w:b/>
        </w:rPr>
        <w:t xml:space="preserve"> 299 </w:t>
      </w:r>
      <w:r w:rsidR="00EE5062" w:rsidRPr="008273E0">
        <w:rPr>
          <w:b/>
        </w:rPr>
        <w:t>2</w:t>
      </w:r>
      <w:r w:rsidR="00901235" w:rsidRPr="008273E0">
        <w:rPr>
          <w:b/>
        </w:rPr>
        <w:t>83,52</w:t>
      </w:r>
      <w:r w:rsidR="00EE5062" w:rsidRPr="00901235">
        <w:t xml:space="preserve"> руб. </w:t>
      </w:r>
    </w:p>
    <w:p w:rsidR="009E563E" w:rsidRPr="00901235" w:rsidRDefault="00C632B0" w:rsidP="009E563E">
      <w:pPr>
        <w:pStyle w:val="a6"/>
        <w:spacing w:after="0"/>
        <w:ind w:left="0" w:firstLine="567"/>
        <w:jc w:val="both"/>
      </w:pPr>
      <w:r w:rsidRPr="00901235">
        <w:lastRenderedPageBreak/>
        <w:t>Резерв создан в отношении предстоящих расходов по оплате от</w:t>
      </w:r>
      <w:r w:rsidR="00BF6929" w:rsidRPr="00901235">
        <w:t>п</w:t>
      </w:r>
      <w:r w:rsidRPr="00901235">
        <w:t>уск</w:t>
      </w:r>
      <w:r w:rsidR="00BF6929" w:rsidRPr="00901235">
        <w:t>ов</w:t>
      </w:r>
      <w:r w:rsidRPr="00901235">
        <w:t xml:space="preserve"> личному составу Главного управления не использовавших по состоянию на 31.12.2018г. </w:t>
      </w:r>
      <w:r w:rsidR="009E563E" w:rsidRPr="00901235">
        <w:t xml:space="preserve">Резервы созданы с учетом страховых взносов.  </w:t>
      </w:r>
    </w:p>
    <w:p w:rsidR="00EE5062" w:rsidRPr="00901235" w:rsidRDefault="00EE5062" w:rsidP="00055FFC">
      <w:pPr>
        <w:pStyle w:val="a6"/>
        <w:spacing w:after="0"/>
        <w:ind w:left="0" w:firstLine="567"/>
        <w:jc w:val="both"/>
        <w:rPr>
          <w:highlight w:val="red"/>
        </w:rPr>
      </w:pPr>
      <w:r w:rsidRPr="00901235">
        <w:t>Резерв по оплате отпусков</w:t>
      </w:r>
      <w:r w:rsidR="00D520A8" w:rsidRPr="00901235">
        <w:t xml:space="preserve"> </w:t>
      </w:r>
      <w:r w:rsidRPr="00901235">
        <w:t xml:space="preserve">госслужащих </w:t>
      </w:r>
      <w:r w:rsidR="00D520A8" w:rsidRPr="00901235">
        <w:t xml:space="preserve">рассчитан на сумму </w:t>
      </w:r>
      <w:r w:rsidRPr="008273E0">
        <w:rPr>
          <w:b/>
        </w:rPr>
        <w:t>997 913,61</w:t>
      </w:r>
      <w:r w:rsidRPr="00901235">
        <w:t xml:space="preserve"> руб., количество </w:t>
      </w:r>
      <w:r w:rsidR="00D520A8" w:rsidRPr="00901235">
        <w:t xml:space="preserve">неиспользованных </w:t>
      </w:r>
      <w:r w:rsidRPr="00901235">
        <w:t xml:space="preserve">дней </w:t>
      </w:r>
      <w:r w:rsidR="00D520A8" w:rsidRPr="00901235">
        <w:t xml:space="preserve">отпуска по данным кадровой службы составляет всего </w:t>
      </w:r>
      <w:r w:rsidR="002A7E54" w:rsidRPr="00901235">
        <w:t>493</w:t>
      </w:r>
      <w:r w:rsidR="00D520A8" w:rsidRPr="00901235">
        <w:t xml:space="preserve"> дня. Начисленная сумма резерва по </w:t>
      </w:r>
      <w:r w:rsidRPr="00901235">
        <w:t>страховы</w:t>
      </w:r>
      <w:r w:rsidR="00D520A8" w:rsidRPr="00901235">
        <w:t>м</w:t>
      </w:r>
      <w:r w:rsidRPr="00901235">
        <w:t xml:space="preserve"> взнос</w:t>
      </w:r>
      <w:r w:rsidR="00D520A8" w:rsidRPr="00901235">
        <w:t>ам</w:t>
      </w:r>
      <w:r w:rsidRPr="00901235">
        <w:t xml:space="preserve"> </w:t>
      </w:r>
      <w:r w:rsidRPr="008273E0">
        <w:rPr>
          <w:b/>
        </w:rPr>
        <w:t>301 369,91</w:t>
      </w:r>
      <w:r w:rsidRPr="00901235">
        <w:t xml:space="preserve"> руб.</w:t>
      </w:r>
      <w:r w:rsidR="005557FC" w:rsidRPr="00901235">
        <w:rPr>
          <w:highlight w:val="yellow"/>
        </w:rPr>
        <w:t xml:space="preserve"> </w:t>
      </w:r>
    </w:p>
    <w:p w:rsidR="0032614A" w:rsidRDefault="0032614A" w:rsidP="002F46F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u w:val="single"/>
        </w:rPr>
      </w:pPr>
    </w:p>
    <w:p w:rsidR="0013096A" w:rsidRDefault="0013096A" w:rsidP="002F46F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u w:val="single"/>
        </w:rPr>
      </w:pPr>
    </w:p>
    <w:p w:rsidR="0013096A" w:rsidRDefault="0013096A" w:rsidP="002F46F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u w:val="single"/>
        </w:rPr>
      </w:pPr>
    </w:p>
    <w:p w:rsidR="002F46FD" w:rsidRPr="002C7A61" w:rsidRDefault="002F46FD" w:rsidP="002F46FD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u w:val="single"/>
        </w:rPr>
      </w:pPr>
      <w:r w:rsidRPr="002C7A61">
        <w:rPr>
          <w:b/>
          <w:sz w:val="26"/>
          <w:szCs w:val="26"/>
          <w:u w:val="single"/>
        </w:rPr>
        <w:t>Раздел 5 "Прочие вопросы деятельности субъекта бюджетной отчетности"</w:t>
      </w:r>
    </w:p>
    <w:p w:rsidR="00904AD3" w:rsidRDefault="00904AD3" w:rsidP="00904AD3">
      <w:pPr>
        <w:autoSpaceDE w:val="0"/>
        <w:autoSpaceDN w:val="0"/>
        <w:adjustRightInd w:val="0"/>
        <w:jc w:val="both"/>
        <w:rPr>
          <w:color w:val="000000"/>
        </w:rPr>
      </w:pPr>
    </w:p>
    <w:p w:rsidR="002F46FD" w:rsidRPr="002C7A61" w:rsidRDefault="002F46FD" w:rsidP="002F46FD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2C7A61">
        <w:rPr>
          <w:i/>
          <w:u w:val="single"/>
        </w:rPr>
        <w:t xml:space="preserve">Сведения об особенностях ведения бюджетного учета </w:t>
      </w:r>
    </w:p>
    <w:p w:rsidR="0013096A" w:rsidRDefault="0013096A" w:rsidP="002F46FD">
      <w:pPr>
        <w:ind w:firstLine="708"/>
        <w:jc w:val="both"/>
      </w:pPr>
    </w:p>
    <w:p w:rsidR="002F46FD" w:rsidRPr="002C7A61" w:rsidRDefault="002F46FD" w:rsidP="002F46FD">
      <w:pPr>
        <w:ind w:firstLine="708"/>
        <w:jc w:val="both"/>
      </w:pPr>
      <w:r w:rsidRPr="002C7A61">
        <w:t>Бухгалтерский учет в Главном управлении МЧС России по Республике Саха (Якутия) и подведомственных учреждениях осуществляется в соответствии с требованиями действующего законодательства по бухгалтерскому учету в казенных и бюджетных организациях.</w:t>
      </w:r>
    </w:p>
    <w:p w:rsidR="002F46FD" w:rsidRPr="002C7A61" w:rsidRDefault="002F46FD" w:rsidP="002F46FD">
      <w:pPr>
        <w:jc w:val="both"/>
      </w:pPr>
      <w:r w:rsidRPr="002C7A61">
        <w:tab/>
        <w:t>Денежное довольствие военнослужащим и сотрудникам ГПС и заработная плата гражданскому персоналу начисляются и выплачиваются на основании утвержденных штатов и штатных расписаний; учет материальных запасов отражается по фактической стоимости, списание производится по мере расходования.</w:t>
      </w:r>
    </w:p>
    <w:p w:rsidR="002F46FD" w:rsidRPr="002C7A61" w:rsidRDefault="002F46FD" w:rsidP="002F46FD">
      <w:pPr>
        <w:jc w:val="both"/>
      </w:pPr>
      <w:r w:rsidRPr="002C7A61">
        <w:tab/>
        <w:t xml:space="preserve">В целях сохранности наличных денежных средств денежное довольствие, заработная плата, и другие социальные выплаты личному составу Главного управления и подведомственных подразделений перечисляются на банковские карты, открытые в отделениях банка в рамках </w:t>
      </w:r>
      <w:proofErr w:type="spellStart"/>
      <w:r w:rsidRPr="002C7A61">
        <w:t>зарплатного</w:t>
      </w:r>
      <w:proofErr w:type="spellEnd"/>
      <w:r w:rsidRPr="002C7A61">
        <w:t xml:space="preserve"> проекта.</w:t>
      </w:r>
    </w:p>
    <w:p w:rsidR="002F46FD" w:rsidRDefault="002F46FD" w:rsidP="002F46FD">
      <w:pPr>
        <w:ind w:firstLine="708"/>
        <w:jc w:val="both"/>
      </w:pPr>
      <w:r w:rsidRPr="002C7A61">
        <w:t>Расходование бюджетных средств осуществляется в соответствии с утвержденной сметой расходов по их целевому назначению через органы Федерального казначейства.</w:t>
      </w:r>
    </w:p>
    <w:p w:rsidR="00022D7B" w:rsidRDefault="00022D7B" w:rsidP="00022D7B">
      <w:pPr>
        <w:ind w:firstLine="709"/>
        <w:jc w:val="both"/>
        <w:rPr>
          <w:rFonts w:eastAsia="Calibri"/>
          <w:lang w:eastAsia="en-US"/>
        </w:rPr>
      </w:pPr>
    </w:p>
    <w:p w:rsidR="00FD1FF3" w:rsidRDefault="00FD1FF3" w:rsidP="002F46FD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</w:p>
    <w:p w:rsidR="001C57D1" w:rsidRDefault="002F46FD" w:rsidP="002F46FD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>
        <w:rPr>
          <w:i/>
          <w:u w:val="single"/>
        </w:rPr>
        <w:t>Иные с</w:t>
      </w:r>
      <w:r w:rsidRPr="002C7A61">
        <w:rPr>
          <w:i/>
          <w:u w:val="single"/>
        </w:rPr>
        <w:t xml:space="preserve">ведения </w:t>
      </w:r>
      <w:r>
        <w:rPr>
          <w:i/>
          <w:u w:val="single"/>
        </w:rPr>
        <w:t>о деятельности учреждения</w:t>
      </w:r>
      <w:r w:rsidRPr="002C7A61">
        <w:rPr>
          <w:i/>
          <w:u w:val="single"/>
        </w:rPr>
        <w:t xml:space="preserve"> </w:t>
      </w:r>
    </w:p>
    <w:p w:rsidR="00D44A07" w:rsidRDefault="00D44A07" w:rsidP="002F46FD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</w:p>
    <w:p w:rsidR="006715D6" w:rsidRDefault="00D44A07" w:rsidP="000274C9">
      <w:pPr>
        <w:ind w:firstLine="709"/>
        <w:jc w:val="both"/>
      </w:pPr>
      <w:r w:rsidRPr="00D44A07">
        <w:t xml:space="preserve">По отчету ВФК в Главном управлении МЧС России по Республике Саха (Якутия) и общее количество проведенных контрольных действий, в рамках внутреннего финансового контроля за 2018 год составляет </w:t>
      </w:r>
      <w:r w:rsidR="000274C9">
        <w:rPr>
          <w:b/>
        </w:rPr>
        <w:t>63</w:t>
      </w:r>
      <w:r w:rsidRPr="00D44A07">
        <w:t xml:space="preserve"> контролей</w:t>
      </w:r>
      <w:r w:rsidR="000274C9">
        <w:t xml:space="preserve"> (</w:t>
      </w:r>
      <w:r w:rsidRPr="00D44A07">
        <w:t>самоконтроль</w:t>
      </w:r>
      <w:r w:rsidR="000274C9">
        <w:t>)</w:t>
      </w:r>
      <w:proofErr w:type="gramStart"/>
      <w:r w:rsidR="000274C9">
        <w:t>.</w:t>
      </w:r>
      <w:r w:rsidRPr="00D44A07">
        <w:t>О</w:t>
      </w:r>
      <w:proofErr w:type="gramEnd"/>
      <w:r w:rsidRPr="00D44A07">
        <w:t xml:space="preserve">бщее количество выявленных недостатков (нарушений) </w:t>
      </w:r>
      <w:r w:rsidRPr="00D44A07">
        <w:rPr>
          <w:b/>
        </w:rPr>
        <w:t>4</w:t>
      </w:r>
      <w:r w:rsidRPr="00D44A07">
        <w:t xml:space="preserve">, </w:t>
      </w:r>
      <w:r w:rsidR="000274C9">
        <w:t>к</w:t>
      </w:r>
      <w:r w:rsidRPr="00D44A07">
        <w:t xml:space="preserve">оличество предложенных мер по устранению недостатков (нарушений), соответствует количеству принятых мер </w:t>
      </w:r>
      <w:r w:rsidR="000274C9">
        <w:rPr>
          <w:b/>
        </w:rPr>
        <w:t>4</w:t>
      </w:r>
      <w:r w:rsidRPr="00D44A07">
        <w:t xml:space="preserve">.  </w:t>
      </w:r>
    </w:p>
    <w:p w:rsidR="00200C17" w:rsidRPr="00D44A07" w:rsidRDefault="00D44A07" w:rsidP="000274C9">
      <w:pPr>
        <w:ind w:firstLine="709"/>
        <w:jc w:val="both"/>
      </w:pPr>
      <w:r w:rsidRPr="00D44A07">
        <w:t xml:space="preserve">   </w:t>
      </w:r>
    </w:p>
    <w:p w:rsidR="009C7447" w:rsidRDefault="00964E88" w:rsidP="00FD1FF3">
      <w:pPr>
        <w:autoSpaceDE w:val="0"/>
        <w:autoSpaceDN w:val="0"/>
        <w:adjustRightInd w:val="0"/>
        <w:ind w:firstLine="709"/>
        <w:jc w:val="both"/>
      </w:pPr>
      <w:r>
        <w:t>В</w:t>
      </w:r>
      <w:r w:rsidR="00FD1FF3">
        <w:t xml:space="preserve"> целях составления годовой отчетности Главного управления МЧС России по Республике Саха (Якутия) согласно</w:t>
      </w:r>
      <w:r>
        <w:t xml:space="preserve"> приказ</w:t>
      </w:r>
      <w:r w:rsidR="00FD1FF3">
        <w:t>у</w:t>
      </w:r>
      <w:r>
        <w:t xml:space="preserve"> Г</w:t>
      </w:r>
      <w:r w:rsidR="00FD1FF3">
        <w:t xml:space="preserve">лавного управления </w:t>
      </w:r>
      <w:r>
        <w:t>№397 от 22.10.2018г.</w:t>
      </w:r>
      <w:r w:rsidR="00FD1FF3">
        <w:t xml:space="preserve"> проведена годовая инвентаризация активов и обязательств. </w:t>
      </w:r>
      <w:r w:rsidR="009C7447">
        <w:t xml:space="preserve">По итогам </w:t>
      </w:r>
      <w:r w:rsidR="00FD1FF3">
        <w:t xml:space="preserve">проведенной </w:t>
      </w:r>
      <w:r w:rsidR="009C7447">
        <w:t>инвентаризации расхождений не установлено.</w:t>
      </w:r>
    </w:p>
    <w:p w:rsidR="00DE594C" w:rsidRPr="001C57D1" w:rsidRDefault="00FD1FF3" w:rsidP="00FD1FF3">
      <w:pPr>
        <w:autoSpaceDE w:val="0"/>
        <w:autoSpaceDN w:val="0"/>
        <w:adjustRightInd w:val="0"/>
        <w:ind w:firstLine="709"/>
        <w:jc w:val="both"/>
      </w:pPr>
      <w:r>
        <w:rPr>
          <w:rStyle w:val="headertextdesc"/>
        </w:rPr>
        <w:t>Бухгалтерская отчетность своевременно размещается на сайте «Электронный бюджет» в подсистеме «Учет и отчетность».</w:t>
      </w:r>
    </w:p>
    <w:p w:rsidR="002F46FD" w:rsidRDefault="00FD1FF3" w:rsidP="002F46FD">
      <w:pPr>
        <w:ind w:firstLine="567"/>
        <w:jc w:val="both"/>
        <w:rPr>
          <w:bCs/>
        </w:rPr>
      </w:pPr>
      <w:r>
        <w:rPr>
          <w:bCs/>
        </w:rPr>
        <w:t>На</w:t>
      </w:r>
      <w:r w:rsidR="002F46FD">
        <w:rPr>
          <w:bCs/>
        </w:rPr>
        <w:t xml:space="preserve"> сайте «Электронный бюджет» в подсистеме «Бюджетное планирование»</w:t>
      </w:r>
      <w:r>
        <w:rPr>
          <w:bCs/>
        </w:rPr>
        <w:t xml:space="preserve"> размещено</w:t>
      </w:r>
      <w:r w:rsidR="002F46FD">
        <w:rPr>
          <w:bCs/>
        </w:rPr>
        <w:t>:</w:t>
      </w:r>
    </w:p>
    <w:p w:rsidR="002F46FD" w:rsidRDefault="002F46FD" w:rsidP="002F46FD">
      <w:pPr>
        <w:ind w:firstLine="709"/>
        <w:jc w:val="both"/>
        <w:rPr>
          <w:bCs/>
        </w:rPr>
      </w:pPr>
      <w:r>
        <w:rPr>
          <w:bCs/>
        </w:rPr>
        <w:t>-государственное задание;</w:t>
      </w:r>
    </w:p>
    <w:p w:rsidR="002F46FD" w:rsidRDefault="002F46FD" w:rsidP="002F46FD">
      <w:pPr>
        <w:ind w:firstLine="709"/>
        <w:jc w:val="both"/>
        <w:rPr>
          <w:bCs/>
        </w:rPr>
      </w:pPr>
      <w:r>
        <w:rPr>
          <w:bCs/>
        </w:rPr>
        <w:t xml:space="preserve">-соглашение на выполнение государственного задания; </w:t>
      </w:r>
    </w:p>
    <w:p w:rsidR="002F46FD" w:rsidRDefault="002F46FD" w:rsidP="002F46FD">
      <w:pPr>
        <w:ind w:firstLine="709"/>
        <w:jc w:val="both"/>
        <w:rPr>
          <w:bCs/>
        </w:rPr>
      </w:pPr>
      <w:r>
        <w:rPr>
          <w:bCs/>
        </w:rPr>
        <w:t xml:space="preserve">-дополнительное соглашение на выполнение государственного задания; </w:t>
      </w:r>
    </w:p>
    <w:p w:rsidR="002F46FD" w:rsidRDefault="002F46FD" w:rsidP="002F46FD">
      <w:pPr>
        <w:ind w:firstLine="709"/>
        <w:jc w:val="both"/>
        <w:rPr>
          <w:bCs/>
        </w:rPr>
      </w:pPr>
      <w:r>
        <w:rPr>
          <w:bCs/>
        </w:rPr>
        <w:t>-соглашение на выделение целевых субсидий;</w:t>
      </w:r>
    </w:p>
    <w:p w:rsidR="002F46FD" w:rsidRDefault="002F46FD" w:rsidP="002F46FD">
      <w:pPr>
        <w:ind w:firstLine="709"/>
        <w:jc w:val="both"/>
        <w:rPr>
          <w:bCs/>
        </w:rPr>
      </w:pPr>
      <w:r>
        <w:rPr>
          <w:bCs/>
        </w:rPr>
        <w:t>-план финансово-хозяйственной деятельности учреждения</w:t>
      </w:r>
      <w:r w:rsidR="0013096A">
        <w:rPr>
          <w:bCs/>
        </w:rPr>
        <w:t>.</w:t>
      </w:r>
    </w:p>
    <w:p w:rsidR="00883CC7" w:rsidRDefault="00883CC7" w:rsidP="002F46FD">
      <w:pPr>
        <w:ind w:firstLine="567"/>
        <w:jc w:val="both"/>
        <w:rPr>
          <w:rStyle w:val="headertextdesc"/>
        </w:rPr>
      </w:pPr>
    </w:p>
    <w:p w:rsidR="002F46FD" w:rsidRDefault="002F46FD" w:rsidP="002F46FD">
      <w:pPr>
        <w:ind w:firstLine="567"/>
        <w:jc w:val="both"/>
        <w:rPr>
          <w:rStyle w:val="headertextdesc"/>
        </w:rPr>
      </w:pPr>
    </w:p>
    <w:p w:rsidR="002F46FD" w:rsidRDefault="002F46FD" w:rsidP="002F46FD">
      <w:pPr>
        <w:ind w:firstLine="567"/>
        <w:jc w:val="both"/>
      </w:pPr>
    </w:p>
    <w:p w:rsidR="00B836D4" w:rsidRDefault="00B836D4" w:rsidP="002F46FD">
      <w:pPr>
        <w:jc w:val="both"/>
        <w:rPr>
          <w:b/>
          <w:color w:val="000000"/>
        </w:rPr>
      </w:pPr>
    </w:p>
    <w:p w:rsidR="002F46FD" w:rsidRPr="00E55FA9" w:rsidRDefault="002F46FD" w:rsidP="002F46FD">
      <w:pPr>
        <w:jc w:val="both"/>
        <w:rPr>
          <w:b/>
          <w:color w:val="000000"/>
        </w:rPr>
      </w:pPr>
      <w:r w:rsidRPr="00E55FA9">
        <w:rPr>
          <w:b/>
          <w:color w:val="000000"/>
        </w:rPr>
        <w:t>Начальник ФЭО (главный бухгалтер)</w:t>
      </w:r>
    </w:p>
    <w:p w:rsidR="00B74C7B" w:rsidRPr="00E55FA9" w:rsidRDefault="002F46FD" w:rsidP="002908A4">
      <w:pPr>
        <w:jc w:val="both"/>
        <w:rPr>
          <w:b/>
        </w:rPr>
      </w:pPr>
      <w:r w:rsidRPr="00E55FA9">
        <w:rPr>
          <w:b/>
          <w:color w:val="000000"/>
        </w:rPr>
        <w:t>полковник внутренней службы</w:t>
      </w:r>
      <w:r w:rsidRPr="00E55FA9">
        <w:rPr>
          <w:b/>
          <w:color w:val="000000"/>
        </w:rPr>
        <w:tab/>
      </w:r>
      <w:r w:rsidRPr="00E55FA9">
        <w:rPr>
          <w:b/>
          <w:color w:val="000000"/>
        </w:rPr>
        <w:tab/>
      </w:r>
      <w:r w:rsidRPr="00E55FA9">
        <w:rPr>
          <w:b/>
          <w:color w:val="000000"/>
        </w:rPr>
        <w:tab/>
      </w:r>
      <w:r w:rsidR="002F5B75">
        <w:rPr>
          <w:b/>
          <w:color w:val="000000"/>
        </w:rPr>
        <w:t xml:space="preserve">         </w:t>
      </w:r>
      <w:r w:rsidR="00D0543D">
        <w:rPr>
          <w:b/>
          <w:color w:val="000000"/>
        </w:rPr>
        <w:t xml:space="preserve">      П/П    </w:t>
      </w:r>
      <w:r w:rsidR="002F5B75">
        <w:rPr>
          <w:b/>
          <w:color w:val="000000"/>
        </w:rPr>
        <w:t xml:space="preserve">                     В</w:t>
      </w:r>
      <w:r w:rsidRPr="00E55FA9">
        <w:rPr>
          <w:b/>
          <w:color w:val="000000"/>
        </w:rPr>
        <w:t>.И.</w:t>
      </w:r>
      <w:r w:rsidR="002F5B75">
        <w:rPr>
          <w:b/>
          <w:color w:val="000000"/>
        </w:rPr>
        <w:t xml:space="preserve"> </w:t>
      </w:r>
      <w:r w:rsidRPr="00E55FA9">
        <w:rPr>
          <w:b/>
          <w:color w:val="000000"/>
        </w:rPr>
        <w:t>Иванова</w:t>
      </w:r>
    </w:p>
    <w:sectPr w:rsidR="00B74C7B" w:rsidRPr="00E55FA9" w:rsidSect="00B74C7B">
      <w:pgSz w:w="11906" w:h="16838"/>
      <w:pgMar w:top="5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79F4"/>
    <w:multiLevelType w:val="hybridMultilevel"/>
    <w:tmpl w:val="B4FCB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1503EB"/>
    <w:multiLevelType w:val="hybridMultilevel"/>
    <w:tmpl w:val="B072896C"/>
    <w:lvl w:ilvl="0" w:tplc="D492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510D3A"/>
    <w:multiLevelType w:val="hybridMultilevel"/>
    <w:tmpl w:val="2984FBB8"/>
    <w:lvl w:ilvl="0" w:tplc="E9FE54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46FD"/>
    <w:rsid w:val="00003CF5"/>
    <w:rsid w:val="00005F7C"/>
    <w:rsid w:val="0002185A"/>
    <w:rsid w:val="00022D7B"/>
    <w:rsid w:val="000274C9"/>
    <w:rsid w:val="000328FC"/>
    <w:rsid w:val="00034205"/>
    <w:rsid w:val="00042274"/>
    <w:rsid w:val="000458D7"/>
    <w:rsid w:val="00050989"/>
    <w:rsid w:val="00055FFC"/>
    <w:rsid w:val="00065B6B"/>
    <w:rsid w:val="0007165A"/>
    <w:rsid w:val="00075D3F"/>
    <w:rsid w:val="0008736C"/>
    <w:rsid w:val="000902D4"/>
    <w:rsid w:val="00090D6C"/>
    <w:rsid w:val="00094A8E"/>
    <w:rsid w:val="00096EC8"/>
    <w:rsid w:val="000B02D7"/>
    <w:rsid w:val="000B7D9E"/>
    <w:rsid w:val="000D1780"/>
    <w:rsid w:val="000D1F27"/>
    <w:rsid w:val="000D211C"/>
    <w:rsid w:val="000D32DC"/>
    <w:rsid w:val="000E18B8"/>
    <w:rsid w:val="000E1CF3"/>
    <w:rsid w:val="000E7142"/>
    <w:rsid w:val="000F49F2"/>
    <w:rsid w:val="00104C6B"/>
    <w:rsid w:val="00110A2D"/>
    <w:rsid w:val="001170AE"/>
    <w:rsid w:val="00125D68"/>
    <w:rsid w:val="00126DA6"/>
    <w:rsid w:val="0013096A"/>
    <w:rsid w:val="001351E3"/>
    <w:rsid w:val="00135678"/>
    <w:rsid w:val="00142F24"/>
    <w:rsid w:val="00144BC1"/>
    <w:rsid w:val="0015107D"/>
    <w:rsid w:val="00154B0D"/>
    <w:rsid w:val="00155232"/>
    <w:rsid w:val="00165CA2"/>
    <w:rsid w:val="00180E1C"/>
    <w:rsid w:val="001903DE"/>
    <w:rsid w:val="001C036E"/>
    <w:rsid w:val="001C3029"/>
    <w:rsid w:val="001C57D1"/>
    <w:rsid w:val="001D04CE"/>
    <w:rsid w:val="001F1187"/>
    <w:rsid w:val="00200C17"/>
    <w:rsid w:val="002134CC"/>
    <w:rsid w:val="002374D9"/>
    <w:rsid w:val="00242045"/>
    <w:rsid w:val="00245E75"/>
    <w:rsid w:val="00252C21"/>
    <w:rsid w:val="002555E1"/>
    <w:rsid w:val="00256D11"/>
    <w:rsid w:val="00267F1E"/>
    <w:rsid w:val="0027194F"/>
    <w:rsid w:val="002850AC"/>
    <w:rsid w:val="002908A4"/>
    <w:rsid w:val="00297EEC"/>
    <w:rsid w:val="002A0C87"/>
    <w:rsid w:val="002A7E54"/>
    <w:rsid w:val="002C4944"/>
    <w:rsid w:val="002D4557"/>
    <w:rsid w:val="002D51F0"/>
    <w:rsid w:val="002D6A2E"/>
    <w:rsid w:val="002F46FD"/>
    <w:rsid w:val="002F5B75"/>
    <w:rsid w:val="003044CF"/>
    <w:rsid w:val="003141C9"/>
    <w:rsid w:val="00317A18"/>
    <w:rsid w:val="0032614A"/>
    <w:rsid w:val="003310F7"/>
    <w:rsid w:val="00334F6D"/>
    <w:rsid w:val="00340A7D"/>
    <w:rsid w:val="00365EA8"/>
    <w:rsid w:val="00371775"/>
    <w:rsid w:val="0038456C"/>
    <w:rsid w:val="003A3405"/>
    <w:rsid w:val="003A439F"/>
    <w:rsid w:val="003A7BB6"/>
    <w:rsid w:val="003B1724"/>
    <w:rsid w:val="003B42A3"/>
    <w:rsid w:val="003B79BB"/>
    <w:rsid w:val="003C0EA3"/>
    <w:rsid w:val="003D09BC"/>
    <w:rsid w:val="003F70C3"/>
    <w:rsid w:val="0040443E"/>
    <w:rsid w:val="00414E61"/>
    <w:rsid w:val="004162F9"/>
    <w:rsid w:val="004216E5"/>
    <w:rsid w:val="00425F4D"/>
    <w:rsid w:val="00427B7B"/>
    <w:rsid w:val="00431EFF"/>
    <w:rsid w:val="00444AB2"/>
    <w:rsid w:val="00445B4F"/>
    <w:rsid w:val="00450AF9"/>
    <w:rsid w:val="00463D2E"/>
    <w:rsid w:val="00473829"/>
    <w:rsid w:val="0047576A"/>
    <w:rsid w:val="00487171"/>
    <w:rsid w:val="00496AC6"/>
    <w:rsid w:val="004A178A"/>
    <w:rsid w:val="004A2C9F"/>
    <w:rsid w:val="004A35F9"/>
    <w:rsid w:val="004C2889"/>
    <w:rsid w:val="004C3D65"/>
    <w:rsid w:val="004D4A16"/>
    <w:rsid w:val="004E6047"/>
    <w:rsid w:val="004F47EE"/>
    <w:rsid w:val="004F6050"/>
    <w:rsid w:val="00501709"/>
    <w:rsid w:val="005079EB"/>
    <w:rsid w:val="00510A98"/>
    <w:rsid w:val="00526E81"/>
    <w:rsid w:val="005300E7"/>
    <w:rsid w:val="00534171"/>
    <w:rsid w:val="0055096E"/>
    <w:rsid w:val="00552B15"/>
    <w:rsid w:val="00553416"/>
    <w:rsid w:val="00553E78"/>
    <w:rsid w:val="00554DF3"/>
    <w:rsid w:val="005557FC"/>
    <w:rsid w:val="00557DF7"/>
    <w:rsid w:val="00577945"/>
    <w:rsid w:val="005845C2"/>
    <w:rsid w:val="00587351"/>
    <w:rsid w:val="00590C88"/>
    <w:rsid w:val="005917EE"/>
    <w:rsid w:val="00593588"/>
    <w:rsid w:val="00593EE8"/>
    <w:rsid w:val="005A6480"/>
    <w:rsid w:val="005B693A"/>
    <w:rsid w:val="005D158F"/>
    <w:rsid w:val="005D44CF"/>
    <w:rsid w:val="005D4616"/>
    <w:rsid w:val="005D4975"/>
    <w:rsid w:val="005E4E8A"/>
    <w:rsid w:val="005E6AC4"/>
    <w:rsid w:val="005F0B84"/>
    <w:rsid w:val="005F345A"/>
    <w:rsid w:val="00601B80"/>
    <w:rsid w:val="0061216C"/>
    <w:rsid w:val="00613B2A"/>
    <w:rsid w:val="00617F24"/>
    <w:rsid w:val="00631A3A"/>
    <w:rsid w:val="006441C2"/>
    <w:rsid w:val="0064588E"/>
    <w:rsid w:val="00646104"/>
    <w:rsid w:val="006464CD"/>
    <w:rsid w:val="00647EF6"/>
    <w:rsid w:val="006516CC"/>
    <w:rsid w:val="006531E0"/>
    <w:rsid w:val="006550E5"/>
    <w:rsid w:val="00657DD5"/>
    <w:rsid w:val="0066022D"/>
    <w:rsid w:val="006715D6"/>
    <w:rsid w:val="00682D6E"/>
    <w:rsid w:val="00684933"/>
    <w:rsid w:val="006B71CB"/>
    <w:rsid w:val="006C17F0"/>
    <w:rsid w:val="006C44CA"/>
    <w:rsid w:val="006C69B7"/>
    <w:rsid w:val="006D13EA"/>
    <w:rsid w:val="006E040E"/>
    <w:rsid w:val="006E106C"/>
    <w:rsid w:val="006E6BB0"/>
    <w:rsid w:val="00700466"/>
    <w:rsid w:val="00703512"/>
    <w:rsid w:val="00710F35"/>
    <w:rsid w:val="007152E6"/>
    <w:rsid w:val="00716AEF"/>
    <w:rsid w:val="00751C01"/>
    <w:rsid w:val="00755C24"/>
    <w:rsid w:val="00771E06"/>
    <w:rsid w:val="007769C2"/>
    <w:rsid w:val="00780CDA"/>
    <w:rsid w:val="00783F1D"/>
    <w:rsid w:val="00785B15"/>
    <w:rsid w:val="007967EC"/>
    <w:rsid w:val="007A1091"/>
    <w:rsid w:val="007A6E41"/>
    <w:rsid w:val="007B3F8D"/>
    <w:rsid w:val="007B5334"/>
    <w:rsid w:val="007C359B"/>
    <w:rsid w:val="007D2A3B"/>
    <w:rsid w:val="007D2CDD"/>
    <w:rsid w:val="007D4347"/>
    <w:rsid w:val="007E71F8"/>
    <w:rsid w:val="007F07DF"/>
    <w:rsid w:val="00802E51"/>
    <w:rsid w:val="008033BF"/>
    <w:rsid w:val="00806BD8"/>
    <w:rsid w:val="00822A81"/>
    <w:rsid w:val="008239CA"/>
    <w:rsid w:val="008268C8"/>
    <w:rsid w:val="008273E0"/>
    <w:rsid w:val="00832AD3"/>
    <w:rsid w:val="008423EE"/>
    <w:rsid w:val="0084542E"/>
    <w:rsid w:val="0085093B"/>
    <w:rsid w:val="008570DE"/>
    <w:rsid w:val="00865C19"/>
    <w:rsid w:val="0087197D"/>
    <w:rsid w:val="00883CC7"/>
    <w:rsid w:val="0088653B"/>
    <w:rsid w:val="0088670C"/>
    <w:rsid w:val="0088783B"/>
    <w:rsid w:val="008C08F3"/>
    <w:rsid w:val="008C6B77"/>
    <w:rsid w:val="008D5704"/>
    <w:rsid w:val="008E0142"/>
    <w:rsid w:val="008E5DDA"/>
    <w:rsid w:val="008F49B2"/>
    <w:rsid w:val="008F6F84"/>
    <w:rsid w:val="00901235"/>
    <w:rsid w:val="00904AD3"/>
    <w:rsid w:val="009159AB"/>
    <w:rsid w:val="00916636"/>
    <w:rsid w:val="009335E0"/>
    <w:rsid w:val="009356BC"/>
    <w:rsid w:val="009477DD"/>
    <w:rsid w:val="0095305F"/>
    <w:rsid w:val="0096195E"/>
    <w:rsid w:val="00964E88"/>
    <w:rsid w:val="009717EA"/>
    <w:rsid w:val="0098010E"/>
    <w:rsid w:val="00986608"/>
    <w:rsid w:val="00997BE1"/>
    <w:rsid w:val="009A2412"/>
    <w:rsid w:val="009C208E"/>
    <w:rsid w:val="009C5BD4"/>
    <w:rsid w:val="009C7447"/>
    <w:rsid w:val="009C7DCC"/>
    <w:rsid w:val="009D183C"/>
    <w:rsid w:val="009D75AD"/>
    <w:rsid w:val="009E3C0E"/>
    <w:rsid w:val="009E563E"/>
    <w:rsid w:val="00A0651C"/>
    <w:rsid w:val="00A11275"/>
    <w:rsid w:val="00A21DFF"/>
    <w:rsid w:val="00A25338"/>
    <w:rsid w:val="00A42DBB"/>
    <w:rsid w:val="00A5170A"/>
    <w:rsid w:val="00A55187"/>
    <w:rsid w:val="00A61AE8"/>
    <w:rsid w:val="00A811BF"/>
    <w:rsid w:val="00A9040E"/>
    <w:rsid w:val="00A929B2"/>
    <w:rsid w:val="00A94216"/>
    <w:rsid w:val="00A95A2F"/>
    <w:rsid w:val="00AA0884"/>
    <w:rsid w:val="00AA63DB"/>
    <w:rsid w:val="00AB371E"/>
    <w:rsid w:val="00AC1867"/>
    <w:rsid w:val="00AD49A5"/>
    <w:rsid w:val="00AE1E07"/>
    <w:rsid w:val="00AE27C0"/>
    <w:rsid w:val="00AE4202"/>
    <w:rsid w:val="00AF0948"/>
    <w:rsid w:val="00AF5AB5"/>
    <w:rsid w:val="00B03760"/>
    <w:rsid w:val="00B05248"/>
    <w:rsid w:val="00B0689A"/>
    <w:rsid w:val="00B233FE"/>
    <w:rsid w:val="00B351E0"/>
    <w:rsid w:val="00B407B7"/>
    <w:rsid w:val="00B429FB"/>
    <w:rsid w:val="00B47AB7"/>
    <w:rsid w:val="00B505D9"/>
    <w:rsid w:val="00B54F2B"/>
    <w:rsid w:val="00B639BC"/>
    <w:rsid w:val="00B73DDD"/>
    <w:rsid w:val="00B74C7B"/>
    <w:rsid w:val="00B75EE8"/>
    <w:rsid w:val="00B836D4"/>
    <w:rsid w:val="00B86798"/>
    <w:rsid w:val="00BA1D0F"/>
    <w:rsid w:val="00BA6748"/>
    <w:rsid w:val="00BB101B"/>
    <w:rsid w:val="00BB25BF"/>
    <w:rsid w:val="00BB3E0D"/>
    <w:rsid w:val="00BB458D"/>
    <w:rsid w:val="00BB595D"/>
    <w:rsid w:val="00BC26A1"/>
    <w:rsid w:val="00BD4590"/>
    <w:rsid w:val="00BE0C96"/>
    <w:rsid w:val="00BE79CE"/>
    <w:rsid w:val="00BE7FA5"/>
    <w:rsid w:val="00BF6929"/>
    <w:rsid w:val="00C00072"/>
    <w:rsid w:val="00C11941"/>
    <w:rsid w:val="00C16C4A"/>
    <w:rsid w:val="00C21324"/>
    <w:rsid w:val="00C2227E"/>
    <w:rsid w:val="00C22757"/>
    <w:rsid w:val="00C243DF"/>
    <w:rsid w:val="00C31702"/>
    <w:rsid w:val="00C326F0"/>
    <w:rsid w:val="00C364A2"/>
    <w:rsid w:val="00C46669"/>
    <w:rsid w:val="00C55DAD"/>
    <w:rsid w:val="00C56520"/>
    <w:rsid w:val="00C61F2B"/>
    <w:rsid w:val="00C632B0"/>
    <w:rsid w:val="00C63F49"/>
    <w:rsid w:val="00C66F06"/>
    <w:rsid w:val="00C67DE4"/>
    <w:rsid w:val="00C9016E"/>
    <w:rsid w:val="00C95661"/>
    <w:rsid w:val="00CA465C"/>
    <w:rsid w:val="00CC1F5C"/>
    <w:rsid w:val="00CC2E17"/>
    <w:rsid w:val="00CD45AE"/>
    <w:rsid w:val="00CD5E5D"/>
    <w:rsid w:val="00CE2402"/>
    <w:rsid w:val="00CE3D92"/>
    <w:rsid w:val="00D002FF"/>
    <w:rsid w:val="00D0543D"/>
    <w:rsid w:val="00D05DD5"/>
    <w:rsid w:val="00D06E4E"/>
    <w:rsid w:val="00D11C41"/>
    <w:rsid w:val="00D13F34"/>
    <w:rsid w:val="00D1626D"/>
    <w:rsid w:val="00D17254"/>
    <w:rsid w:val="00D17BCF"/>
    <w:rsid w:val="00D42FD3"/>
    <w:rsid w:val="00D44A07"/>
    <w:rsid w:val="00D520A8"/>
    <w:rsid w:val="00D5767A"/>
    <w:rsid w:val="00D606E5"/>
    <w:rsid w:val="00D64E73"/>
    <w:rsid w:val="00D71568"/>
    <w:rsid w:val="00D75A84"/>
    <w:rsid w:val="00D75ADB"/>
    <w:rsid w:val="00D76E31"/>
    <w:rsid w:val="00D8668C"/>
    <w:rsid w:val="00D938DD"/>
    <w:rsid w:val="00DA1DDF"/>
    <w:rsid w:val="00DB0E8A"/>
    <w:rsid w:val="00DB584D"/>
    <w:rsid w:val="00DB6FE2"/>
    <w:rsid w:val="00DD59BE"/>
    <w:rsid w:val="00DE08C7"/>
    <w:rsid w:val="00DE38EF"/>
    <w:rsid w:val="00DE594C"/>
    <w:rsid w:val="00DF7FD5"/>
    <w:rsid w:val="00E05A41"/>
    <w:rsid w:val="00E1269D"/>
    <w:rsid w:val="00E24521"/>
    <w:rsid w:val="00E30E09"/>
    <w:rsid w:val="00E40874"/>
    <w:rsid w:val="00E4385C"/>
    <w:rsid w:val="00E43954"/>
    <w:rsid w:val="00E47D11"/>
    <w:rsid w:val="00E55FA9"/>
    <w:rsid w:val="00E61230"/>
    <w:rsid w:val="00E8225C"/>
    <w:rsid w:val="00E84CD1"/>
    <w:rsid w:val="00E93C0B"/>
    <w:rsid w:val="00EA1852"/>
    <w:rsid w:val="00EB3A4F"/>
    <w:rsid w:val="00EC25FC"/>
    <w:rsid w:val="00ED230B"/>
    <w:rsid w:val="00EE193D"/>
    <w:rsid w:val="00EE5062"/>
    <w:rsid w:val="00EF20D3"/>
    <w:rsid w:val="00F1142B"/>
    <w:rsid w:val="00F1422A"/>
    <w:rsid w:val="00F2532F"/>
    <w:rsid w:val="00F50814"/>
    <w:rsid w:val="00F5224F"/>
    <w:rsid w:val="00F53E3B"/>
    <w:rsid w:val="00F70288"/>
    <w:rsid w:val="00F7211A"/>
    <w:rsid w:val="00F833E0"/>
    <w:rsid w:val="00F836FB"/>
    <w:rsid w:val="00F92204"/>
    <w:rsid w:val="00F96F3E"/>
    <w:rsid w:val="00FA21F1"/>
    <w:rsid w:val="00FA3DB1"/>
    <w:rsid w:val="00FA4A5D"/>
    <w:rsid w:val="00FA5B31"/>
    <w:rsid w:val="00FB4DC6"/>
    <w:rsid w:val="00FD0298"/>
    <w:rsid w:val="00FD1FF3"/>
    <w:rsid w:val="00FE3FA8"/>
    <w:rsid w:val="00FF24C8"/>
    <w:rsid w:val="00FF4EDB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46F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46F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59"/>
    <w:rsid w:val="002F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6FD"/>
    <w:pPr>
      <w:ind w:left="720"/>
      <w:contextualSpacing/>
    </w:pPr>
  </w:style>
  <w:style w:type="character" w:customStyle="1" w:styleId="headertextbig">
    <w:name w:val="header__text_big"/>
    <w:basedOn w:val="a0"/>
    <w:rsid w:val="002F46FD"/>
  </w:style>
  <w:style w:type="character" w:customStyle="1" w:styleId="headertextdesc">
    <w:name w:val="header__text_desc"/>
    <w:basedOn w:val="a0"/>
    <w:rsid w:val="002F46FD"/>
  </w:style>
  <w:style w:type="character" w:styleId="a5">
    <w:name w:val="Hyperlink"/>
    <w:basedOn w:val="a0"/>
    <w:rsid w:val="002F46FD"/>
    <w:rPr>
      <w:color w:val="0000FF" w:themeColor="hyperlink"/>
      <w:u w:val="single"/>
    </w:rPr>
  </w:style>
  <w:style w:type="paragraph" w:styleId="3">
    <w:name w:val="Body Text 3"/>
    <w:basedOn w:val="a"/>
    <w:link w:val="30"/>
    <w:rsid w:val="00D576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576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055F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55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66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6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624C-FA71-48F9-A68A-8A4FB522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7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2019-02-18T08:38:00Z</cp:lastPrinted>
  <dcterms:created xsi:type="dcterms:W3CDTF">2019-02-15T03:49:00Z</dcterms:created>
  <dcterms:modified xsi:type="dcterms:W3CDTF">2019-02-18T10:17:00Z</dcterms:modified>
</cp:coreProperties>
</file>